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42A9B" w14:textId="77777777" w:rsidR="00CB29E8" w:rsidRDefault="00CB29E8"/>
    <w:p w14:paraId="72738640" w14:textId="77777777" w:rsidR="00CB29E8" w:rsidRDefault="00CB29E8"/>
    <w:p w14:paraId="54F22E86" w14:textId="77777777" w:rsidR="00CB29E8" w:rsidRDefault="00CB29E8"/>
    <w:p w14:paraId="69EFAC75" w14:textId="77777777" w:rsidR="0077434F" w:rsidRDefault="0077434F"/>
    <w:p w14:paraId="2AB80648" w14:textId="77777777" w:rsidR="0077434F" w:rsidRDefault="0077434F"/>
    <w:p w14:paraId="70D5C2B5" w14:textId="77777777" w:rsidR="00CB29E8" w:rsidRDefault="00CB29E8"/>
    <w:p w14:paraId="539B8FB1" w14:textId="1272E07A" w:rsidR="00CB29E8" w:rsidRDefault="0026051C" w:rsidP="00CB29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</w:t>
      </w:r>
      <w:bookmarkStart w:id="0" w:name="_GoBack"/>
      <w:bookmarkEnd w:id="0"/>
      <w:r w:rsidR="00CB29E8" w:rsidRPr="00CB29E8">
        <w:rPr>
          <w:b/>
          <w:sz w:val="48"/>
          <w:szCs w:val="48"/>
        </w:rPr>
        <w:t>zvještaja o izvršenju financijskog plana za 202</w:t>
      </w:r>
      <w:r w:rsidR="0086604C">
        <w:rPr>
          <w:b/>
          <w:sz w:val="48"/>
          <w:szCs w:val="48"/>
        </w:rPr>
        <w:t>5</w:t>
      </w:r>
      <w:r w:rsidR="00CB29E8" w:rsidRPr="00CB29E8">
        <w:rPr>
          <w:b/>
          <w:sz w:val="48"/>
          <w:szCs w:val="48"/>
        </w:rPr>
        <w:t>. godinu</w:t>
      </w:r>
    </w:p>
    <w:p w14:paraId="11E44F8C" w14:textId="77777777" w:rsidR="00CB29E8" w:rsidRDefault="00CB29E8" w:rsidP="00CB29E8">
      <w:pPr>
        <w:jc w:val="center"/>
        <w:rPr>
          <w:b/>
          <w:sz w:val="48"/>
          <w:szCs w:val="48"/>
        </w:rPr>
      </w:pPr>
    </w:p>
    <w:p w14:paraId="7ECC63F4" w14:textId="77777777" w:rsidR="00CB29E8" w:rsidRDefault="00CB29E8" w:rsidP="00CB29E8">
      <w:pPr>
        <w:jc w:val="center"/>
        <w:rPr>
          <w:b/>
          <w:sz w:val="48"/>
          <w:szCs w:val="48"/>
        </w:rPr>
      </w:pPr>
    </w:p>
    <w:p w14:paraId="02238D64" w14:textId="77777777" w:rsidR="00CB29E8" w:rsidRDefault="00CB29E8" w:rsidP="00CB29E8">
      <w:pPr>
        <w:jc w:val="center"/>
        <w:rPr>
          <w:b/>
          <w:sz w:val="48"/>
          <w:szCs w:val="48"/>
        </w:rPr>
      </w:pPr>
    </w:p>
    <w:p w14:paraId="28F3F1A6" w14:textId="77777777" w:rsidR="00CB29E8" w:rsidRDefault="00CB29E8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BC483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E8CF7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29C20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C3A89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3CBC4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CECE0" w14:textId="77777777" w:rsid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CCAE1" w14:textId="77777777" w:rsidR="007F42FC" w:rsidRPr="007F42FC" w:rsidRDefault="007F42FC" w:rsidP="00CB2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C0F23" w14:textId="77777777" w:rsidR="007F42FC" w:rsidRPr="007F42FC" w:rsidRDefault="007F42FC" w:rsidP="007F42FC">
      <w:pPr>
        <w:pStyle w:val="Zaglavlje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7F42FC">
        <w:rPr>
          <w:rFonts w:ascii="Times New Roman" w:hAnsi="Times New Roman" w:cs="Times New Roman"/>
          <w:sz w:val="24"/>
          <w:szCs w:val="24"/>
        </w:rPr>
        <w:t>KLASA: 400-04/26-01/</w:t>
      </w:r>
      <w:proofErr w:type="spellStart"/>
      <w:r w:rsidRPr="007F42FC"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14:paraId="318A2940" w14:textId="7A066C80" w:rsidR="00CB29E8" w:rsidRDefault="007F42FC" w:rsidP="007F42FC">
      <w:pPr>
        <w:pStyle w:val="Zaglavlje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7F42FC">
        <w:rPr>
          <w:rFonts w:ascii="Times New Roman" w:hAnsi="Times New Roman" w:cs="Times New Roman"/>
          <w:sz w:val="24"/>
          <w:szCs w:val="24"/>
        </w:rPr>
        <w:t>URBROJ: 2181-6-3-1-26-01</w:t>
      </w:r>
    </w:p>
    <w:p w14:paraId="2AAFDD7A" w14:textId="77777777" w:rsidR="007F42FC" w:rsidRPr="007F42FC" w:rsidRDefault="007F42FC" w:rsidP="007F42FC">
      <w:pPr>
        <w:pStyle w:val="Zaglavlje"/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14:paraId="433B27D9" w14:textId="2579903C" w:rsidR="00CB29E8" w:rsidRDefault="007F42FC" w:rsidP="007F4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Makarska 30</w:t>
      </w:r>
      <w:r w:rsidRPr="007F42FC">
        <w:rPr>
          <w:rFonts w:ascii="Times New Roman" w:hAnsi="Times New Roman" w:cs="Times New Roman"/>
          <w:sz w:val="24"/>
          <w:szCs w:val="24"/>
        </w:rPr>
        <w:t>.03.2026.</w:t>
      </w:r>
    </w:p>
    <w:p w14:paraId="37D04C97" w14:textId="77777777" w:rsidR="007F42FC" w:rsidRPr="007F42FC" w:rsidRDefault="007F42FC" w:rsidP="007F42FC">
      <w:pPr>
        <w:rPr>
          <w:rFonts w:ascii="Times New Roman" w:hAnsi="Times New Roman" w:cs="Times New Roman"/>
          <w:sz w:val="24"/>
          <w:szCs w:val="24"/>
        </w:rPr>
      </w:pPr>
    </w:p>
    <w:p w14:paraId="609236C6" w14:textId="77777777" w:rsidR="007F42FC" w:rsidRDefault="007F42FC" w:rsidP="00CB29E8">
      <w:pPr>
        <w:jc w:val="center"/>
        <w:rPr>
          <w:b/>
          <w:sz w:val="48"/>
          <w:szCs w:val="48"/>
        </w:rPr>
      </w:pPr>
    </w:p>
    <w:p w14:paraId="4D170A55" w14:textId="77777777" w:rsidR="007F42FC" w:rsidRDefault="000E2FF6" w:rsidP="000E2F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</w:t>
      </w:r>
    </w:p>
    <w:p w14:paraId="4BA5C982" w14:textId="3E2288AC" w:rsidR="001D4132" w:rsidRDefault="00EA0ADF" w:rsidP="007F42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-1-</w:t>
      </w:r>
    </w:p>
    <w:p w14:paraId="46455D65" w14:textId="207CB1E9" w:rsidR="00851E11" w:rsidRPr="00851E11" w:rsidRDefault="00851E11" w:rsidP="00851E11">
      <w:pPr>
        <w:rPr>
          <w:rFonts w:ascii="Times New Roman" w:hAnsi="Times New Roman" w:cs="Times New Roman"/>
          <w:sz w:val="26"/>
          <w:szCs w:val="26"/>
        </w:rPr>
      </w:pPr>
      <w:r w:rsidRPr="00851E11">
        <w:rPr>
          <w:rFonts w:ascii="Times New Roman" w:hAnsi="Times New Roman" w:cs="Times New Roman"/>
          <w:sz w:val="26"/>
          <w:szCs w:val="26"/>
        </w:rPr>
        <w:t xml:space="preserve">Temeljem odredbe  članaka 81.- 87. Zakona o proračunu (NN 144/21) , Javna </w:t>
      </w:r>
      <w:r w:rsidR="00C735E1">
        <w:rPr>
          <w:rFonts w:ascii="Times New Roman" w:hAnsi="Times New Roman" w:cs="Times New Roman"/>
          <w:sz w:val="26"/>
          <w:szCs w:val="26"/>
        </w:rPr>
        <w:t>vatrogasna postrojbe</w:t>
      </w:r>
      <w:r w:rsidRPr="00851E11">
        <w:rPr>
          <w:rFonts w:ascii="Times New Roman" w:hAnsi="Times New Roman" w:cs="Times New Roman"/>
          <w:sz w:val="26"/>
          <w:szCs w:val="26"/>
        </w:rPr>
        <w:t xml:space="preserve"> obvezna</w:t>
      </w:r>
      <w:r w:rsidR="00C735E1">
        <w:rPr>
          <w:rFonts w:ascii="Times New Roman" w:hAnsi="Times New Roman" w:cs="Times New Roman"/>
          <w:sz w:val="26"/>
          <w:szCs w:val="26"/>
        </w:rPr>
        <w:t xml:space="preserve"> je</w:t>
      </w:r>
      <w:r w:rsidRPr="00851E11">
        <w:rPr>
          <w:rFonts w:ascii="Times New Roman" w:hAnsi="Times New Roman" w:cs="Times New Roman"/>
          <w:sz w:val="26"/>
          <w:szCs w:val="26"/>
        </w:rPr>
        <w:t xml:space="preserve"> izraditi Godišnje izvješće o izvršenju financijskog plana za proteklu godinu te ga dostaviti na usvajanje Upravnom vijeću,  najkasnije do 31. ožujka tekuće godine. Pravilnikom o polugodišnjem i godišnjem izvještaju o izvršenju proračuna i financijs</w:t>
      </w:r>
      <w:r w:rsidR="00907696">
        <w:rPr>
          <w:rFonts w:ascii="Times New Roman" w:hAnsi="Times New Roman" w:cs="Times New Roman"/>
          <w:sz w:val="26"/>
          <w:szCs w:val="26"/>
        </w:rPr>
        <w:t>kog plana (</w:t>
      </w:r>
      <w:proofErr w:type="spellStart"/>
      <w:r w:rsidR="00907696">
        <w:rPr>
          <w:rFonts w:ascii="Times New Roman" w:hAnsi="Times New Roman" w:cs="Times New Roman"/>
          <w:sz w:val="26"/>
          <w:szCs w:val="26"/>
        </w:rPr>
        <w:t>Nar.nov</w:t>
      </w:r>
      <w:proofErr w:type="spellEnd"/>
      <w:r w:rsidR="00907696">
        <w:rPr>
          <w:rFonts w:ascii="Times New Roman" w:hAnsi="Times New Roman" w:cs="Times New Roman"/>
          <w:sz w:val="26"/>
          <w:szCs w:val="26"/>
        </w:rPr>
        <w:t>., br.85/23), u člancima 30. do 52. detaljno je propisan izgled, sadržaj i podnošenje  izvještaja o izvršenju financijskog plana</w:t>
      </w:r>
    </w:p>
    <w:p w14:paraId="221DD34A" w14:textId="66953B3E" w:rsidR="00C12FAC" w:rsidRDefault="00C12FAC" w:rsidP="00851E1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Prilikom planiranja pa i kod izrade godišnjeg  izvještaja o izvršenju financijskog plana Postrojba je primjenjivala modificirano  računovodstveno načelo nastanka događaja.</w:t>
      </w:r>
    </w:p>
    <w:p w14:paraId="6E1CD749" w14:textId="085FC498" w:rsidR="00851E11" w:rsidRPr="00851E11" w:rsidRDefault="00851E11" w:rsidP="00851E11">
      <w:pPr>
        <w:rPr>
          <w:rFonts w:ascii="Times New Roman" w:hAnsi="Times New Roman" w:cs="Times New Roman"/>
          <w:sz w:val="26"/>
          <w:szCs w:val="26"/>
        </w:rPr>
      </w:pPr>
      <w:r w:rsidRPr="00851E11">
        <w:rPr>
          <w:rFonts w:ascii="Times New Roman" w:hAnsi="Times New Roman" w:cs="Times New Roman"/>
          <w:sz w:val="26"/>
          <w:szCs w:val="26"/>
        </w:rPr>
        <w:t xml:space="preserve">Izvještaj o izvršenju financijskog plana </w:t>
      </w:r>
      <w:r w:rsidR="00C12FAC">
        <w:rPr>
          <w:rFonts w:ascii="Times New Roman" w:hAnsi="Times New Roman" w:cs="Times New Roman"/>
          <w:sz w:val="26"/>
          <w:szCs w:val="26"/>
        </w:rPr>
        <w:t xml:space="preserve"> predstavlja iskazivanje podataka o ukupnom ostvarenju  planiranih prihoda i primitka, rashoda i izdataka za 202</w:t>
      </w:r>
      <w:r w:rsidR="005A0E58">
        <w:rPr>
          <w:rFonts w:ascii="Times New Roman" w:hAnsi="Times New Roman" w:cs="Times New Roman"/>
          <w:sz w:val="26"/>
          <w:szCs w:val="26"/>
        </w:rPr>
        <w:t>5</w:t>
      </w:r>
      <w:r w:rsidR="00C12FAC">
        <w:rPr>
          <w:rFonts w:ascii="Times New Roman" w:hAnsi="Times New Roman" w:cs="Times New Roman"/>
          <w:sz w:val="26"/>
          <w:szCs w:val="26"/>
        </w:rPr>
        <w:t>. godinu. te sadrži i preneseni višak iz 202</w:t>
      </w:r>
      <w:r w:rsidR="005A0E58">
        <w:rPr>
          <w:rFonts w:ascii="Times New Roman" w:hAnsi="Times New Roman" w:cs="Times New Roman"/>
          <w:sz w:val="26"/>
          <w:szCs w:val="26"/>
        </w:rPr>
        <w:t>4</w:t>
      </w:r>
      <w:r w:rsidR="00C12FAC">
        <w:rPr>
          <w:rFonts w:ascii="Times New Roman" w:hAnsi="Times New Roman" w:cs="Times New Roman"/>
          <w:sz w:val="26"/>
          <w:szCs w:val="26"/>
        </w:rPr>
        <w:t>. godine iskazan na podskupini 922.</w:t>
      </w:r>
    </w:p>
    <w:p w14:paraId="637C056D" w14:textId="77777777" w:rsidR="00851E11" w:rsidRPr="00851E11" w:rsidRDefault="00851E11" w:rsidP="00851E11">
      <w:pPr>
        <w:rPr>
          <w:rFonts w:ascii="Times New Roman" w:hAnsi="Times New Roman" w:cs="Times New Roman"/>
          <w:sz w:val="26"/>
          <w:szCs w:val="26"/>
        </w:rPr>
      </w:pPr>
      <w:r w:rsidRPr="00851E11">
        <w:rPr>
          <w:rFonts w:ascii="Times New Roman" w:hAnsi="Times New Roman" w:cs="Times New Roman"/>
          <w:sz w:val="26"/>
          <w:szCs w:val="26"/>
        </w:rPr>
        <w:t xml:space="preserve">Financijski plan proračunskog korisnika prikaz je planiranog načina trošenje prihoda i primitaka, na rashode i izdatke, te korištenje viškova i pokriće manjkova prama proračunskim klasifikacijama unutar jedne godine. </w:t>
      </w:r>
    </w:p>
    <w:p w14:paraId="03E7F0C2" w14:textId="5CDFB070" w:rsidR="00CB29E8" w:rsidRDefault="00CB29E8" w:rsidP="00CB29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Tijekom 202</w:t>
      </w:r>
      <w:r w:rsidR="006F6AC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god</w:t>
      </w:r>
      <w:r w:rsidR="00673003">
        <w:rPr>
          <w:rFonts w:ascii="Times New Roman" w:hAnsi="Times New Roman" w:cs="Times New Roman"/>
          <w:sz w:val="26"/>
          <w:szCs w:val="26"/>
        </w:rPr>
        <w:t>ine financiranje Javne vatrogasna postrojba grada Makarska</w:t>
      </w:r>
      <w:r w:rsidR="000E2F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izvršen</w:t>
      </w:r>
      <w:r w:rsidR="000E2FF6"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je na osnovi slijedećih financijsko</w:t>
      </w:r>
      <w:r w:rsidR="000E2FF6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planskih dokumenata:</w:t>
      </w:r>
    </w:p>
    <w:p w14:paraId="740BEBFC" w14:textId="11137B94" w:rsidR="00CB29E8" w:rsidRPr="000E2FF6" w:rsidRDefault="00CB29E8" w:rsidP="000E2FF6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0E2FF6">
        <w:rPr>
          <w:rFonts w:ascii="Times New Roman" w:hAnsi="Times New Roman" w:cs="Times New Roman"/>
          <w:sz w:val="26"/>
          <w:szCs w:val="26"/>
        </w:rPr>
        <w:t>Financijski plan za 202</w:t>
      </w:r>
      <w:r w:rsidR="00741B5D">
        <w:rPr>
          <w:rFonts w:ascii="Times New Roman" w:hAnsi="Times New Roman" w:cs="Times New Roman"/>
          <w:sz w:val="26"/>
          <w:szCs w:val="26"/>
        </w:rPr>
        <w:t>5</w:t>
      </w:r>
      <w:r w:rsidRPr="000E2FF6">
        <w:rPr>
          <w:rFonts w:ascii="Times New Roman" w:hAnsi="Times New Roman" w:cs="Times New Roman"/>
          <w:sz w:val="26"/>
          <w:szCs w:val="26"/>
        </w:rPr>
        <w:t>. godinu s projekcijom za 202</w:t>
      </w:r>
      <w:r w:rsidR="00741B5D">
        <w:rPr>
          <w:rFonts w:ascii="Times New Roman" w:hAnsi="Times New Roman" w:cs="Times New Roman"/>
          <w:sz w:val="26"/>
          <w:szCs w:val="26"/>
        </w:rPr>
        <w:t>6</w:t>
      </w:r>
      <w:r w:rsidR="00520367">
        <w:rPr>
          <w:rFonts w:ascii="Times New Roman" w:hAnsi="Times New Roman" w:cs="Times New Roman"/>
          <w:sz w:val="26"/>
          <w:szCs w:val="26"/>
        </w:rPr>
        <w:t>. i 202</w:t>
      </w:r>
      <w:r w:rsidR="00741B5D">
        <w:rPr>
          <w:rFonts w:ascii="Times New Roman" w:hAnsi="Times New Roman" w:cs="Times New Roman"/>
          <w:sz w:val="26"/>
          <w:szCs w:val="26"/>
        </w:rPr>
        <w:t>7</w:t>
      </w:r>
      <w:r w:rsidRPr="000E2FF6">
        <w:rPr>
          <w:rFonts w:ascii="Times New Roman" w:hAnsi="Times New Roman" w:cs="Times New Roman"/>
          <w:sz w:val="26"/>
          <w:szCs w:val="26"/>
        </w:rPr>
        <w:t>. godinu</w:t>
      </w:r>
    </w:p>
    <w:p w14:paraId="5B7C2C92" w14:textId="627C8079" w:rsidR="000E2FF6" w:rsidRPr="000E2FF6" w:rsidRDefault="000E2FF6" w:rsidP="000E2FF6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0E2FF6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29E8" w:rsidRPr="000E2FF6">
        <w:rPr>
          <w:rFonts w:ascii="Times New Roman" w:hAnsi="Times New Roman" w:cs="Times New Roman"/>
          <w:sz w:val="26"/>
          <w:szCs w:val="26"/>
        </w:rPr>
        <w:t xml:space="preserve">izmjene i dopune  Financijskog plana </w:t>
      </w:r>
      <w:r w:rsidR="00520367">
        <w:rPr>
          <w:rFonts w:ascii="Times New Roman" w:hAnsi="Times New Roman" w:cs="Times New Roman"/>
          <w:sz w:val="26"/>
          <w:szCs w:val="26"/>
        </w:rPr>
        <w:t xml:space="preserve"> ( rebalans) </w:t>
      </w:r>
      <w:r w:rsidR="00CB29E8" w:rsidRPr="000E2FF6">
        <w:rPr>
          <w:rFonts w:ascii="Times New Roman" w:hAnsi="Times New Roman" w:cs="Times New Roman"/>
          <w:sz w:val="26"/>
          <w:szCs w:val="26"/>
        </w:rPr>
        <w:t>za 202</w:t>
      </w:r>
      <w:r w:rsidR="00741B5D">
        <w:rPr>
          <w:rFonts w:ascii="Times New Roman" w:hAnsi="Times New Roman" w:cs="Times New Roman"/>
          <w:sz w:val="26"/>
          <w:szCs w:val="26"/>
        </w:rPr>
        <w:t>5</w:t>
      </w:r>
      <w:r w:rsidR="00CB29E8" w:rsidRPr="000E2FF6">
        <w:rPr>
          <w:rFonts w:ascii="Times New Roman" w:hAnsi="Times New Roman" w:cs="Times New Roman"/>
          <w:sz w:val="26"/>
          <w:szCs w:val="26"/>
        </w:rPr>
        <w:t>. godinu</w:t>
      </w:r>
      <w:r w:rsidR="00D01888" w:rsidRPr="000E2F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08DE44" w14:textId="77777777" w:rsidR="00D01888" w:rsidRDefault="00D01888" w:rsidP="00D018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Slijedom odredbi Zakona o proračunu izvješće sadrži:</w:t>
      </w:r>
    </w:p>
    <w:p w14:paraId="4343CCB7" w14:textId="1C071616" w:rsidR="00D01888" w:rsidRPr="00C44C12" w:rsidRDefault="00111B38" w:rsidP="00D0188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OPĆI DIO </w:t>
      </w:r>
      <w:r w:rsidR="009E0943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>ZVJEŠTAJA</w:t>
      </w:r>
      <w:r w:rsidR="00D01888" w:rsidRPr="00C44C12">
        <w:rPr>
          <w:rFonts w:ascii="Times New Roman" w:hAnsi="Times New Roman" w:cs="Times New Roman"/>
          <w:b/>
          <w:sz w:val="26"/>
          <w:szCs w:val="26"/>
        </w:rPr>
        <w:t>:</w:t>
      </w:r>
    </w:p>
    <w:p w14:paraId="1B11658B" w14:textId="77777777" w:rsidR="00D01888" w:rsidRDefault="00D01888" w:rsidP="00D0188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Sažetak</w:t>
      </w:r>
      <w:r w:rsidR="001C2FE2"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 xml:space="preserve">ačuna prihoda i rashoda i </w:t>
      </w:r>
      <w:r w:rsidR="00111B38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ačuna financiranja,</w:t>
      </w:r>
    </w:p>
    <w:p w14:paraId="05714FE7" w14:textId="77777777" w:rsidR="00D01888" w:rsidRDefault="00D01888" w:rsidP="00D0188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Račun prihoda i rashoda,</w:t>
      </w:r>
    </w:p>
    <w:p w14:paraId="6713128E" w14:textId="77777777" w:rsidR="00D01888" w:rsidRDefault="00D01888" w:rsidP="00D0188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Račun financiranja.</w:t>
      </w:r>
    </w:p>
    <w:p w14:paraId="61BBAFEB" w14:textId="77777777" w:rsidR="00D01888" w:rsidRDefault="00D01888" w:rsidP="00D01888">
      <w:pPr>
        <w:pStyle w:val="Odlomakpopisa"/>
        <w:ind w:left="1080"/>
        <w:rPr>
          <w:rFonts w:ascii="Times New Roman" w:hAnsi="Times New Roman" w:cs="Times New Roman"/>
          <w:sz w:val="26"/>
          <w:szCs w:val="26"/>
        </w:rPr>
      </w:pPr>
    </w:p>
    <w:p w14:paraId="7858BE82" w14:textId="77777777" w:rsidR="00D01888" w:rsidRDefault="00D01888" w:rsidP="00D01888">
      <w:pPr>
        <w:pStyle w:val="Odlomakpopisa"/>
        <w:ind w:left="0"/>
        <w:rPr>
          <w:rFonts w:ascii="Times New Roman" w:hAnsi="Times New Roman" w:cs="Times New Roman"/>
          <w:sz w:val="26"/>
          <w:szCs w:val="26"/>
        </w:rPr>
      </w:pPr>
      <w:r w:rsidRPr="00C44C12">
        <w:rPr>
          <w:rFonts w:ascii="Times New Roman" w:hAnsi="Times New Roman" w:cs="Times New Roman"/>
          <w:b/>
          <w:sz w:val="26"/>
          <w:szCs w:val="26"/>
        </w:rPr>
        <w:t>B. Račun prihoda i rashoda iskazuje se u slijedećim tablicama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F916FE4" w14:textId="31416AAA" w:rsidR="00D01888" w:rsidRDefault="00D01888" w:rsidP="00CD0EE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Prihodi i rashodi prema ekonomskoj klasifikaciji</w:t>
      </w:r>
    </w:p>
    <w:p w14:paraId="097E88F9" w14:textId="36B2583D" w:rsidR="00D01888" w:rsidRDefault="00D01888" w:rsidP="00CD0EE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Prihodi i rashodi prema izvorima financiranja</w:t>
      </w:r>
    </w:p>
    <w:p w14:paraId="565977C5" w14:textId="363F7330" w:rsidR="00D01888" w:rsidRDefault="00D01888" w:rsidP="00CD0EE6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Rashodi prema funkcijskoj klasifikaciji</w:t>
      </w:r>
    </w:p>
    <w:p w14:paraId="644C244B" w14:textId="77777777" w:rsidR="007F42FC" w:rsidRDefault="007F42FC" w:rsidP="007F42FC">
      <w:pPr>
        <w:rPr>
          <w:rFonts w:ascii="Times New Roman" w:hAnsi="Times New Roman" w:cs="Times New Roman"/>
          <w:sz w:val="26"/>
          <w:szCs w:val="26"/>
        </w:rPr>
      </w:pPr>
    </w:p>
    <w:p w14:paraId="433CD791" w14:textId="77777777" w:rsidR="007F42FC" w:rsidRDefault="007F42FC" w:rsidP="007F42FC">
      <w:pPr>
        <w:rPr>
          <w:rFonts w:ascii="Times New Roman" w:hAnsi="Times New Roman" w:cs="Times New Roman"/>
          <w:sz w:val="26"/>
          <w:szCs w:val="26"/>
        </w:rPr>
      </w:pPr>
    </w:p>
    <w:p w14:paraId="1026A208" w14:textId="77777777" w:rsidR="007F42FC" w:rsidRPr="007F42FC" w:rsidRDefault="007F42FC" w:rsidP="007F42FC">
      <w:pPr>
        <w:rPr>
          <w:rFonts w:ascii="Times New Roman" w:hAnsi="Times New Roman" w:cs="Times New Roman"/>
          <w:sz w:val="26"/>
          <w:szCs w:val="26"/>
        </w:rPr>
      </w:pPr>
    </w:p>
    <w:p w14:paraId="4154AD10" w14:textId="77777777" w:rsidR="00D01888" w:rsidRDefault="00D01888" w:rsidP="001912CB">
      <w:pPr>
        <w:pStyle w:val="Odlomakpopisa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8801940" w14:textId="77777777" w:rsidR="00D01888" w:rsidRPr="00C44C12" w:rsidRDefault="00D01888" w:rsidP="00C44C12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b/>
          <w:sz w:val="26"/>
          <w:szCs w:val="26"/>
        </w:rPr>
      </w:pPr>
      <w:r w:rsidRPr="00C44C12">
        <w:rPr>
          <w:rFonts w:ascii="Times New Roman" w:hAnsi="Times New Roman" w:cs="Times New Roman"/>
          <w:b/>
          <w:sz w:val="26"/>
          <w:szCs w:val="26"/>
        </w:rPr>
        <w:t>Račun financiranja iskazuje se u slijedećim tablicama:</w:t>
      </w:r>
    </w:p>
    <w:p w14:paraId="7EA12EE2" w14:textId="5F7AF347" w:rsidR="00CD0EE6" w:rsidRPr="00CD0EE6" w:rsidRDefault="00D01888" w:rsidP="00CD0EE6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E6">
        <w:rPr>
          <w:rFonts w:ascii="Times New Roman" w:hAnsi="Times New Roman" w:cs="Times New Roman"/>
          <w:sz w:val="28"/>
          <w:szCs w:val="28"/>
        </w:rPr>
        <w:t>Račun financiranja prema ekonomskoj klasifikaciji</w:t>
      </w:r>
    </w:p>
    <w:p w14:paraId="0E678220" w14:textId="2DA71A1A" w:rsidR="005C48E7" w:rsidRPr="00CD0EE6" w:rsidRDefault="005C48E7" w:rsidP="00CD0EE6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E6">
        <w:rPr>
          <w:rFonts w:ascii="Times New Roman" w:hAnsi="Times New Roman" w:cs="Times New Roman"/>
          <w:sz w:val="28"/>
          <w:szCs w:val="28"/>
        </w:rPr>
        <w:t>Račun financiranja prema izvorima financiranja</w:t>
      </w:r>
    </w:p>
    <w:p w14:paraId="33F7B07C" w14:textId="2D70E7D7" w:rsidR="005C48E7" w:rsidRPr="00CD0EE6" w:rsidRDefault="005C48E7" w:rsidP="00CD0EE6">
      <w:pPr>
        <w:pStyle w:val="Odlomakpopisa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E6">
        <w:rPr>
          <w:rFonts w:ascii="Times New Roman" w:hAnsi="Times New Roman" w:cs="Times New Roman"/>
          <w:sz w:val="28"/>
          <w:szCs w:val="28"/>
        </w:rPr>
        <w:t>Preneseni višak ili preneseni manjak iz prethodnog izvještajnog razdoblja</w:t>
      </w:r>
    </w:p>
    <w:p w14:paraId="7B3674FC" w14:textId="02E850CB" w:rsidR="00CD0EE6" w:rsidRDefault="00746A2A" w:rsidP="00746A2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-2-</w:t>
      </w:r>
    </w:p>
    <w:p w14:paraId="403A5AFD" w14:textId="3103C93D" w:rsidR="001912CB" w:rsidRDefault="00C44C12" w:rsidP="005C48E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C44C1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11B38">
        <w:rPr>
          <w:rFonts w:ascii="Times New Roman" w:hAnsi="Times New Roman" w:cs="Times New Roman"/>
          <w:b/>
          <w:sz w:val="28"/>
          <w:szCs w:val="28"/>
        </w:rPr>
        <w:t>POSEBNI DIO IZVJEŠTAJA</w:t>
      </w:r>
      <w:r w:rsidR="001912CB">
        <w:rPr>
          <w:rFonts w:ascii="Times New Roman" w:hAnsi="Times New Roman" w:cs="Times New Roman"/>
          <w:sz w:val="28"/>
          <w:szCs w:val="28"/>
        </w:rPr>
        <w:t xml:space="preserve"> sadrži izvještaj po programskoj klasifikaciji</w:t>
      </w:r>
      <w:r w:rsidR="00CD0EE6">
        <w:rPr>
          <w:rFonts w:ascii="Times New Roman" w:hAnsi="Times New Roman" w:cs="Times New Roman"/>
          <w:sz w:val="28"/>
          <w:szCs w:val="28"/>
        </w:rPr>
        <w:t>,</w:t>
      </w:r>
      <w:r w:rsidR="001912CB">
        <w:rPr>
          <w:rFonts w:ascii="Times New Roman" w:hAnsi="Times New Roman" w:cs="Times New Roman"/>
          <w:sz w:val="28"/>
          <w:szCs w:val="28"/>
        </w:rPr>
        <w:t xml:space="preserve"> iskazan po ekonomskoj klasifikaciji i izvorima financiranja.</w:t>
      </w:r>
    </w:p>
    <w:p w14:paraId="19C182DD" w14:textId="77777777" w:rsidR="001912CB" w:rsidRDefault="001912CB" w:rsidP="005C48E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FC621CB" w14:textId="77777777" w:rsidR="001912CB" w:rsidRDefault="00C44C12" w:rsidP="00111B38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44C12">
        <w:rPr>
          <w:rFonts w:ascii="Times New Roman" w:hAnsi="Times New Roman" w:cs="Times New Roman"/>
          <w:b/>
          <w:sz w:val="28"/>
          <w:szCs w:val="28"/>
        </w:rPr>
        <w:t>O</w:t>
      </w:r>
      <w:r w:rsidR="00111B38">
        <w:rPr>
          <w:rFonts w:ascii="Times New Roman" w:hAnsi="Times New Roman" w:cs="Times New Roman"/>
          <w:b/>
          <w:sz w:val="28"/>
          <w:szCs w:val="28"/>
        </w:rPr>
        <w:t>BRAZLOŽENJE</w:t>
      </w:r>
      <w:r w:rsidR="001912CB">
        <w:rPr>
          <w:rFonts w:ascii="Times New Roman" w:hAnsi="Times New Roman" w:cs="Times New Roman"/>
          <w:sz w:val="28"/>
          <w:szCs w:val="28"/>
        </w:rPr>
        <w:t xml:space="preserve"> izvještaja o izvršenju:</w:t>
      </w:r>
    </w:p>
    <w:p w14:paraId="5F0B237D" w14:textId="77777777" w:rsidR="00111B38" w:rsidRDefault="00111B38" w:rsidP="00111B38">
      <w:pPr>
        <w:pStyle w:val="Bezproreda"/>
        <w:ind w:left="360"/>
        <w:rPr>
          <w:rFonts w:ascii="Times New Roman" w:hAnsi="Times New Roman" w:cs="Times New Roman"/>
          <w:sz w:val="28"/>
          <w:szCs w:val="28"/>
        </w:rPr>
      </w:pPr>
    </w:p>
    <w:p w14:paraId="495D5BD6" w14:textId="77777777" w:rsidR="001912CB" w:rsidRDefault="001912CB" w:rsidP="001912CB">
      <w:pPr>
        <w:pStyle w:val="Bezprored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općeg dijela izvještaja sadrži:</w:t>
      </w:r>
    </w:p>
    <w:p w14:paraId="736997CC" w14:textId="18B96A75" w:rsidR="00CD0EE6" w:rsidRDefault="00C44C12" w:rsidP="00CD0EE6">
      <w:pPr>
        <w:pStyle w:val="Bezprored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912CB">
        <w:rPr>
          <w:rFonts w:ascii="Times New Roman" w:hAnsi="Times New Roman" w:cs="Times New Roman"/>
          <w:sz w:val="28"/>
          <w:szCs w:val="28"/>
        </w:rPr>
        <w:t>brazloženje ostvarenja prihoda i rashoda, primitaka i izdataka</w:t>
      </w:r>
    </w:p>
    <w:p w14:paraId="2F52E307" w14:textId="1C35BF08" w:rsidR="001912CB" w:rsidRDefault="001912CB" w:rsidP="00CD0EE6">
      <w:pPr>
        <w:pStyle w:val="Bezproreda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prenesenog manjka , odnosno viška  financijskog plana</w:t>
      </w:r>
    </w:p>
    <w:p w14:paraId="524D0912" w14:textId="6BB04638" w:rsidR="00EA0ADF" w:rsidRDefault="00CD0EE6" w:rsidP="00C5365B">
      <w:pPr>
        <w:pStyle w:val="Bezproreda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56D8DB1D" w14:textId="13A23991" w:rsidR="00CD0EE6" w:rsidRDefault="00EA0ADF" w:rsidP="00C5365B">
      <w:pPr>
        <w:pStyle w:val="Bezproreda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CD1B78">
        <w:rPr>
          <w:rFonts w:ascii="Times New Roman" w:hAnsi="Times New Roman" w:cs="Times New Roman"/>
          <w:sz w:val="28"/>
          <w:szCs w:val="28"/>
        </w:rPr>
        <w:t xml:space="preserve"> </w:t>
      </w:r>
      <w:r w:rsidR="001912CB">
        <w:rPr>
          <w:rFonts w:ascii="Times New Roman" w:hAnsi="Times New Roman" w:cs="Times New Roman"/>
          <w:sz w:val="28"/>
          <w:szCs w:val="28"/>
        </w:rPr>
        <w:t>Obrazloženje posebnog dijela izvještaja sadrži:</w:t>
      </w:r>
    </w:p>
    <w:p w14:paraId="05DBAEAA" w14:textId="585ACE7C" w:rsidR="001912CB" w:rsidRDefault="001912CB" w:rsidP="00CD0EE6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izvršenj</w:t>
      </w:r>
      <w:r w:rsidR="009E094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aktivnosti i projekata iz posebno</w:t>
      </w:r>
      <w:r w:rsidR="00BA2752">
        <w:rPr>
          <w:rFonts w:ascii="Times New Roman" w:hAnsi="Times New Roman" w:cs="Times New Roman"/>
          <w:sz w:val="28"/>
          <w:szCs w:val="28"/>
        </w:rPr>
        <w:t>g dijela sa ciljevima ostvarenim provedbom programa i pokazateljima uspješnosti realizacij</w:t>
      </w:r>
      <w:r w:rsidR="009E0943">
        <w:rPr>
          <w:rFonts w:ascii="Times New Roman" w:hAnsi="Times New Roman" w:cs="Times New Roman"/>
          <w:sz w:val="28"/>
          <w:szCs w:val="28"/>
        </w:rPr>
        <w:t>e</w:t>
      </w:r>
      <w:r w:rsidR="00BA2752">
        <w:rPr>
          <w:rFonts w:ascii="Times New Roman" w:hAnsi="Times New Roman" w:cs="Times New Roman"/>
          <w:sz w:val="28"/>
          <w:szCs w:val="28"/>
        </w:rPr>
        <w:t xml:space="preserve"> ciljeva</w:t>
      </w:r>
    </w:p>
    <w:p w14:paraId="27E914D2" w14:textId="77777777" w:rsidR="00851E11" w:rsidRDefault="00851E11" w:rsidP="00BA2752">
      <w:pPr>
        <w:pStyle w:val="Bezproreda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F48B2D0" w14:textId="77777777" w:rsidR="00BA2752" w:rsidRPr="00111B38" w:rsidRDefault="00BA2752" w:rsidP="00BA2752">
      <w:pPr>
        <w:pStyle w:val="Bezproreda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11B3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11B38" w:rsidRPr="00111B38">
        <w:rPr>
          <w:rFonts w:ascii="Times New Roman" w:hAnsi="Times New Roman" w:cs="Times New Roman"/>
          <w:b/>
          <w:sz w:val="28"/>
          <w:szCs w:val="28"/>
        </w:rPr>
        <w:t>POSEBNI IZVJEŠTAJI</w:t>
      </w:r>
    </w:p>
    <w:p w14:paraId="6300A25D" w14:textId="77777777" w:rsidR="00BA2752" w:rsidRDefault="00BA2752" w:rsidP="00BA2752">
      <w:pPr>
        <w:pStyle w:val="Bezproreda"/>
        <w:ind w:left="360"/>
        <w:rPr>
          <w:rFonts w:ascii="Times New Roman" w:hAnsi="Times New Roman" w:cs="Times New Roman"/>
          <w:sz w:val="28"/>
          <w:szCs w:val="28"/>
        </w:rPr>
      </w:pPr>
    </w:p>
    <w:p w14:paraId="2A61AA98" w14:textId="77777777" w:rsidR="00BA2752" w:rsidRDefault="00BA2752" w:rsidP="00BA2752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zaduživanju na domaćem i stranom tržištu novca i kapitala</w:t>
      </w:r>
    </w:p>
    <w:p w14:paraId="7FDA56C4" w14:textId="77777777" w:rsidR="00BA2752" w:rsidRDefault="00BA2752" w:rsidP="00BA2752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korištenju sredstava fondova Europske unije</w:t>
      </w:r>
    </w:p>
    <w:p w14:paraId="763F9D54" w14:textId="77777777" w:rsidR="00BA2752" w:rsidRDefault="00BA2752" w:rsidP="00BA2752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danim zajmovima i potraživanjima po danim zajmovima</w:t>
      </w:r>
    </w:p>
    <w:p w14:paraId="018390BD" w14:textId="77777777" w:rsidR="00BA2752" w:rsidRDefault="00BA2752" w:rsidP="00BA2752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stanju potraživanja i dospjelih obveza</w:t>
      </w:r>
    </w:p>
    <w:p w14:paraId="2F544175" w14:textId="270246AD" w:rsidR="00BA2752" w:rsidRDefault="00BA2752" w:rsidP="00BA2752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stanju potencijalnih obveza po osnov</w:t>
      </w:r>
      <w:r w:rsidR="00317C8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sudskih sporova</w:t>
      </w:r>
    </w:p>
    <w:p w14:paraId="5D4974D7" w14:textId="77777777" w:rsidR="00520367" w:rsidRDefault="00520367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B918853" w14:textId="4C16F0F1" w:rsidR="00520367" w:rsidRDefault="00520367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AB59FE">
        <w:rPr>
          <w:rFonts w:ascii="Times New Roman" w:hAnsi="Times New Roman" w:cs="Times New Roman"/>
          <w:b/>
          <w:sz w:val="28"/>
          <w:szCs w:val="28"/>
        </w:rPr>
        <w:t>A</w:t>
      </w:r>
      <w:r w:rsidR="005F18D0">
        <w:rPr>
          <w:rFonts w:ascii="Times New Roman" w:hAnsi="Times New Roman" w:cs="Times New Roman"/>
          <w:b/>
          <w:sz w:val="28"/>
          <w:szCs w:val="28"/>
        </w:rPr>
        <w:t>D 1 ) OPĆI DIO IZVJEŠTAJA</w:t>
      </w:r>
    </w:p>
    <w:p w14:paraId="457771F6" w14:textId="77777777" w:rsidR="008F0807" w:rsidRDefault="008F0807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10837" w:type="dxa"/>
        <w:tblInd w:w="-459" w:type="dxa"/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161"/>
        <w:gridCol w:w="1276"/>
        <w:gridCol w:w="981"/>
        <w:gridCol w:w="898"/>
      </w:tblGrid>
      <w:tr w:rsidR="004D0A30" w:rsidRPr="008F0807" w14:paraId="6F4D7E3E" w14:textId="77777777" w:rsidTr="004D0A30">
        <w:trPr>
          <w:trHeight w:val="375"/>
        </w:trPr>
        <w:tc>
          <w:tcPr>
            <w:tcW w:w="10837" w:type="dxa"/>
            <w:gridSpan w:val="7"/>
            <w:noWrap/>
            <w:vAlign w:val="center"/>
            <w:hideMark/>
          </w:tcPr>
          <w:p w14:paraId="123AA80C" w14:textId="7E65E40B" w:rsidR="004D0A30" w:rsidRPr="008F0807" w:rsidRDefault="004D0A30" w:rsidP="004D0A30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Izvještaj o izvršenju proračuna</w:t>
            </w:r>
          </w:p>
        </w:tc>
      </w:tr>
      <w:tr w:rsidR="008F0807" w:rsidRPr="008F0807" w14:paraId="3F3F09EF" w14:textId="77777777" w:rsidTr="004D0A30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49CE081C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276" w:type="dxa"/>
            <w:noWrap/>
            <w:vAlign w:val="center"/>
            <w:hideMark/>
          </w:tcPr>
          <w:p w14:paraId="0019E87A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 2024.</w:t>
            </w:r>
          </w:p>
        </w:tc>
        <w:tc>
          <w:tcPr>
            <w:tcW w:w="1276" w:type="dxa"/>
            <w:noWrap/>
            <w:vAlign w:val="center"/>
            <w:hideMark/>
          </w:tcPr>
          <w:p w14:paraId="7CF83CAD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Izvorni plan 2025.</w:t>
            </w:r>
          </w:p>
        </w:tc>
        <w:tc>
          <w:tcPr>
            <w:tcW w:w="1161" w:type="dxa"/>
            <w:noWrap/>
            <w:vAlign w:val="center"/>
            <w:hideMark/>
          </w:tcPr>
          <w:p w14:paraId="5A3CA711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Tekući plan 2025.</w:t>
            </w:r>
          </w:p>
        </w:tc>
        <w:tc>
          <w:tcPr>
            <w:tcW w:w="1276" w:type="dxa"/>
            <w:noWrap/>
            <w:vAlign w:val="center"/>
            <w:hideMark/>
          </w:tcPr>
          <w:p w14:paraId="63E22625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Izvršenje 2025.</w:t>
            </w:r>
          </w:p>
        </w:tc>
        <w:tc>
          <w:tcPr>
            <w:tcW w:w="981" w:type="dxa"/>
            <w:noWrap/>
            <w:vAlign w:val="center"/>
            <w:hideMark/>
          </w:tcPr>
          <w:p w14:paraId="75DE33A7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898" w:type="dxa"/>
            <w:noWrap/>
            <w:vAlign w:val="center"/>
            <w:hideMark/>
          </w:tcPr>
          <w:p w14:paraId="6870822E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Indeks  4/3</w:t>
            </w:r>
          </w:p>
        </w:tc>
      </w:tr>
      <w:tr w:rsidR="008F0807" w:rsidRPr="008F0807" w14:paraId="2EFD50D8" w14:textId="77777777" w:rsidTr="004D0A30">
        <w:trPr>
          <w:trHeight w:val="300"/>
        </w:trPr>
        <w:tc>
          <w:tcPr>
            <w:tcW w:w="3969" w:type="dxa"/>
            <w:noWrap/>
            <w:hideMark/>
          </w:tcPr>
          <w:p w14:paraId="706CECE3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276" w:type="dxa"/>
            <w:noWrap/>
            <w:vAlign w:val="center"/>
            <w:hideMark/>
          </w:tcPr>
          <w:p w14:paraId="1DC8C338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9F5ED79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1" w:type="dxa"/>
            <w:noWrap/>
            <w:vAlign w:val="center"/>
            <w:hideMark/>
          </w:tcPr>
          <w:p w14:paraId="2AA4024A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0F8A7B9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vAlign w:val="center"/>
            <w:hideMark/>
          </w:tcPr>
          <w:p w14:paraId="0E47520E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98" w:type="dxa"/>
            <w:noWrap/>
            <w:vAlign w:val="center"/>
            <w:hideMark/>
          </w:tcPr>
          <w:p w14:paraId="6123A1A6" w14:textId="77777777" w:rsidR="008F0807" w:rsidRPr="008F0807" w:rsidRDefault="008F0807" w:rsidP="004D0A3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8F0807" w:rsidRPr="008F0807" w14:paraId="6D268F59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47134BC1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Prihodi poslovanja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4A4E0A6C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1.120.196,28</w:t>
            </w:r>
          </w:p>
        </w:tc>
        <w:tc>
          <w:tcPr>
            <w:tcW w:w="1276" w:type="dxa"/>
            <w:noWrap/>
            <w:vAlign w:val="center"/>
            <w:hideMark/>
          </w:tcPr>
          <w:p w14:paraId="2EF2ACD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1.164.399,35</w:t>
            </w:r>
          </w:p>
        </w:tc>
        <w:tc>
          <w:tcPr>
            <w:tcW w:w="1161" w:type="dxa"/>
            <w:noWrap/>
            <w:vAlign w:val="center"/>
            <w:hideMark/>
          </w:tcPr>
          <w:p w14:paraId="2EDEC67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1.355.319,42</w:t>
            </w:r>
          </w:p>
        </w:tc>
        <w:tc>
          <w:tcPr>
            <w:tcW w:w="1276" w:type="dxa"/>
            <w:noWrap/>
            <w:vAlign w:val="center"/>
            <w:hideMark/>
          </w:tcPr>
          <w:p w14:paraId="3370D32B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1.157.869,58</w:t>
            </w:r>
          </w:p>
        </w:tc>
        <w:tc>
          <w:tcPr>
            <w:tcW w:w="981" w:type="dxa"/>
            <w:noWrap/>
            <w:hideMark/>
          </w:tcPr>
          <w:p w14:paraId="0A61EFD7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103,36%</w:t>
            </w:r>
          </w:p>
        </w:tc>
        <w:tc>
          <w:tcPr>
            <w:tcW w:w="898" w:type="dxa"/>
            <w:noWrap/>
            <w:hideMark/>
          </w:tcPr>
          <w:p w14:paraId="6A3ACF10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85,43%</w:t>
            </w:r>
          </w:p>
        </w:tc>
      </w:tr>
      <w:tr w:rsidR="008F0807" w:rsidRPr="008F0807" w14:paraId="4F7B9715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7B5630CE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Prihodi od prodaje nefinancijske imovine</w:t>
            </w:r>
          </w:p>
        </w:tc>
        <w:tc>
          <w:tcPr>
            <w:tcW w:w="1276" w:type="dxa"/>
            <w:noWrap/>
            <w:vAlign w:val="center"/>
            <w:hideMark/>
          </w:tcPr>
          <w:p w14:paraId="349B4932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4453CE78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1" w:type="dxa"/>
            <w:noWrap/>
            <w:vAlign w:val="center"/>
            <w:hideMark/>
          </w:tcPr>
          <w:p w14:paraId="5E249A1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3D3990D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1" w:type="dxa"/>
            <w:noWrap/>
            <w:hideMark/>
          </w:tcPr>
          <w:p w14:paraId="64778D48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noWrap/>
            <w:hideMark/>
          </w:tcPr>
          <w:p w14:paraId="5973EDEE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F0807" w:rsidRPr="008F0807" w14:paraId="542828A1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535FCF61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UKUPNI PRIHODI</w:t>
            </w:r>
          </w:p>
        </w:tc>
        <w:tc>
          <w:tcPr>
            <w:tcW w:w="1276" w:type="dxa"/>
            <w:noWrap/>
            <w:vAlign w:val="center"/>
            <w:hideMark/>
          </w:tcPr>
          <w:p w14:paraId="1DA3926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1.120.196,28</w:t>
            </w:r>
          </w:p>
        </w:tc>
        <w:tc>
          <w:tcPr>
            <w:tcW w:w="1276" w:type="dxa"/>
            <w:noWrap/>
            <w:vAlign w:val="center"/>
            <w:hideMark/>
          </w:tcPr>
          <w:p w14:paraId="27347547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1.164.399,35</w:t>
            </w:r>
          </w:p>
        </w:tc>
        <w:tc>
          <w:tcPr>
            <w:tcW w:w="1161" w:type="dxa"/>
            <w:noWrap/>
            <w:vAlign w:val="center"/>
            <w:hideMark/>
          </w:tcPr>
          <w:p w14:paraId="2283E1F0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1.355.319,42</w:t>
            </w:r>
          </w:p>
        </w:tc>
        <w:tc>
          <w:tcPr>
            <w:tcW w:w="1276" w:type="dxa"/>
            <w:noWrap/>
            <w:vAlign w:val="center"/>
            <w:hideMark/>
          </w:tcPr>
          <w:p w14:paraId="387F700E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1.157.869,58</w:t>
            </w:r>
          </w:p>
        </w:tc>
        <w:tc>
          <w:tcPr>
            <w:tcW w:w="981" w:type="dxa"/>
            <w:noWrap/>
            <w:hideMark/>
          </w:tcPr>
          <w:p w14:paraId="0BFAA7F3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103,36%</w:t>
            </w:r>
          </w:p>
        </w:tc>
        <w:tc>
          <w:tcPr>
            <w:tcW w:w="898" w:type="dxa"/>
            <w:noWrap/>
            <w:hideMark/>
          </w:tcPr>
          <w:p w14:paraId="2A09C71B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85,43%</w:t>
            </w:r>
          </w:p>
        </w:tc>
      </w:tr>
      <w:tr w:rsidR="008F0807" w:rsidRPr="008F0807" w14:paraId="193F6075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23AB8FD1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07B90AEA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991.265,30</w:t>
            </w:r>
          </w:p>
        </w:tc>
        <w:tc>
          <w:tcPr>
            <w:tcW w:w="1276" w:type="dxa"/>
            <w:noWrap/>
            <w:vAlign w:val="center"/>
            <w:hideMark/>
          </w:tcPr>
          <w:p w14:paraId="60E45925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1.075.454,35</w:t>
            </w:r>
          </w:p>
        </w:tc>
        <w:tc>
          <w:tcPr>
            <w:tcW w:w="1161" w:type="dxa"/>
            <w:noWrap/>
            <w:vAlign w:val="center"/>
            <w:hideMark/>
          </w:tcPr>
          <w:p w14:paraId="333CCBBD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1.278.444,21</w:t>
            </w:r>
          </w:p>
        </w:tc>
        <w:tc>
          <w:tcPr>
            <w:tcW w:w="1276" w:type="dxa"/>
            <w:noWrap/>
            <w:vAlign w:val="center"/>
            <w:hideMark/>
          </w:tcPr>
          <w:p w14:paraId="3E60EFB2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1.174.769,56</w:t>
            </w:r>
          </w:p>
        </w:tc>
        <w:tc>
          <w:tcPr>
            <w:tcW w:w="981" w:type="dxa"/>
            <w:noWrap/>
            <w:hideMark/>
          </w:tcPr>
          <w:p w14:paraId="27D857EE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118,51%</w:t>
            </w:r>
          </w:p>
        </w:tc>
        <w:tc>
          <w:tcPr>
            <w:tcW w:w="898" w:type="dxa"/>
            <w:noWrap/>
            <w:hideMark/>
          </w:tcPr>
          <w:p w14:paraId="31B21E41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91,89%</w:t>
            </w:r>
          </w:p>
        </w:tc>
      </w:tr>
      <w:tr w:rsidR="008F0807" w:rsidRPr="008F0807" w14:paraId="35B7269E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2F642EDD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noWrap/>
            <w:vAlign w:val="center"/>
            <w:hideMark/>
          </w:tcPr>
          <w:p w14:paraId="31669D4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336.131,00</w:t>
            </w:r>
          </w:p>
        </w:tc>
        <w:tc>
          <w:tcPr>
            <w:tcW w:w="1276" w:type="dxa"/>
            <w:noWrap/>
            <w:vAlign w:val="center"/>
            <w:hideMark/>
          </w:tcPr>
          <w:p w14:paraId="48AC1065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42.945,00</w:t>
            </w:r>
          </w:p>
        </w:tc>
        <w:tc>
          <w:tcPr>
            <w:tcW w:w="1161" w:type="dxa"/>
            <w:noWrap/>
            <w:vAlign w:val="center"/>
            <w:hideMark/>
          </w:tcPr>
          <w:p w14:paraId="0BFDD29A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42.940,00</w:t>
            </w:r>
          </w:p>
        </w:tc>
        <w:tc>
          <w:tcPr>
            <w:tcW w:w="1276" w:type="dxa"/>
            <w:noWrap/>
            <w:vAlign w:val="center"/>
            <w:hideMark/>
          </w:tcPr>
          <w:p w14:paraId="2385249B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15.635,00</w:t>
            </w:r>
          </w:p>
        </w:tc>
        <w:tc>
          <w:tcPr>
            <w:tcW w:w="981" w:type="dxa"/>
            <w:noWrap/>
            <w:hideMark/>
          </w:tcPr>
          <w:p w14:paraId="45DA0CCC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4,65%</w:t>
            </w:r>
          </w:p>
        </w:tc>
        <w:tc>
          <w:tcPr>
            <w:tcW w:w="898" w:type="dxa"/>
            <w:noWrap/>
            <w:hideMark/>
          </w:tcPr>
          <w:p w14:paraId="5929DAAE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36,41%</w:t>
            </w:r>
          </w:p>
        </w:tc>
      </w:tr>
      <w:tr w:rsidR="008F0807" w:rsidRPr="008F0807" w14:paraId="3393ED2F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4E515A55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UKUPNI RASHODI</w:t>
            </w:r>
          </w:p>
        </w:tc>
        <w:tc>
          <w:tcPr>
            <w:tcW w:w="1276" w:type="dxa"/>
            <w:noWrap/>
            <w:vAlign w:val="center"/>
            <w:hideMark/>
          </w:tcPr>
          <w:p w14:paraId="22034E0A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1.327.396,30</w:t>
            </w:r>
          </w:p>
        </w:tc>
        <w:tc>
          <w:tcPr>
            <w:tcW w:w="1276" w:type="dxa"/>
            <w:noWrap/>
            <w:vAlign w:val="center"/>
            <w:hideMark/>
          </w:tcPr>
          <w:p w14:paraId="73D5A355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1.118.399,35</w:t>
            </w:r>
          </w:p>
        </w:tc>
        <w:tc>
          <w:tcPr>
            <w:tcW w:w="1161" w:type="dxa"/>
            <w:noWrap/>
            <w:vAlign w:val="center"/>
            <w:hideMark/>
          </w:tcPr>
          <w:p w14:paraId="65E7DB9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1.321.384,21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0ADFA598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1.190.404,56</w:t>
            </w:r>
          </w:p>
        </w:tc>
        <w:tc>
          <w:tcPr>
            <w:tcW w:w="981" w:type="dxa"/>
            <w:noWrap/>
            <w:hideMark/>
          </w:tcPr>
          <w:p w14:paraId="40E0701E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89,68%</w:t>
            </w:r>
          </w:p>
        </w:tc>
        <w:tc>
          <w:tcPr>
            <w:tcW w:w="898" w:type="dxa"/>
            <w:noWrap/>
            <w:hideMark/>
          </w:tcPr>
          <w:p w14:paraId="7D39F5B4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90,09%</w:t>
            </w:r>
          </w:p>
        </w:tc>
      </w:tr>
      <w:tr w:rsidR="008F0807" w:rsidRPr="008F0807" w14:paraId="3AE16881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4CFEE20A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VIŠAK / MANJAK</w:t>
            </w:r>
          </w:p>
        </w:tc>
        <w:tc>
          <w:tcPr>
            <w:tcW w:w="1276" w:type="dxa"/>
            <w:noWrap/>
            <w:vAlign w:val="center"/>
            <w:hideMark/>
          </w:tcPr>
          <w:p w14:paraId="69327BC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-207.200,02</w:t>
            </w:r>
          </w:p>
        </w:tc>
        <w:tc>
          <w:tcPr>
            <w:tcW w:w="1276" w:type="dxa"/>
            <w:noWrap/>
            <w:vAlign w:val="center"/>
            <w:hideMark/>
          </w:tcPr>
          <w:p w14:paraId="50C3CC46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46.000,00</w:t>
            </w:r>
          </w:p>
        </w:tc>
        <w:tc>
          <w:tcPr>
            <w:tcW w:w="1161" w:type="dxa"/>
            <w:noWrap/>
            <w:vAlign w:val="center"/>
            <w:hideMark/>
          </w:tcPr>
          <w:p w14:paraId="028075B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33.935,21</w:t>
            </w:r>
          </w:p>
        </w:tc>
        <w:tc>
          <w:tcPr>
            <w:tcW w:w="1276" w:type="dxa"/>
            <w:noWrap/>
            <w:vAlign w:val="center"/>
            <w:hideMark/>
          </w:tcPr>
          <w:p w14:paraId="1531CB7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-32.534,98</w:t>
            </w:r>
          </w:p>
        </w:tc>
        <w:tc>
          <w:tcPr>
            <w:tcW w:w="981" w:type="dxa"/>
            <w:noWrap/>
            <w:hideMark/>
          </w:tcPr>
          <w:p w14:paraId="3257A572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15,70%</w:t>
            </w:r>
          </w:p>
        </w:tc>
        <w:tc>
          <w:tcPr>
            <w:tcW w:w="898" w:type="dxa"/>
            <w:noWrap/>
            <w:hideMark/>
          </w:tcPr>
          <w:p w14:paraId="6772D1A4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-95,87%</w:t>
            </w:r>
          </w:p>
        </w:tc>
      </w:tr>
      <w:tr w:rsidR="008F0807" w:rsidRPr="008F0807" w14:paraId="19970F42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7472F43A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B. RAČUN ZADUŽIVANJA / FINANCIRANJA</w:t>
            </w:r>
          </w:p>
        </w:tc>
        <w:tc>
          <w:tcPr>
            <w:tcW w:w="1276" w:type="dxa"/>
            <w:noWrap/>
            <w:vAlign w:val="center"/>
            <w:hideMark/>
          </w:tcPr>
          <w:p w14:paraId="79104D5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01737DE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noWrap/>
            <w:vAlign w:val="center"/>
            <w:hideMark/>
          </w:tcPr>
          <w:p w14:paraId="46B1365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77FAA3D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17B2AF4B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noWrap/>
            <w:hideMark/>
          </w:tcPr>
          <w:p w14:paraId="3CFB8E83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F0807" w:rsidRPr="008F0807" w14:paraId="59EA7EE6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53311E62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276" w:type="dxa"/>
            <w:noWrap/>
            <w:vAlign w:val="center"/>
            <w:hideMark/>
          </w:tcPr>
          <w:p w14:paraId="1E67736A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244.200,00</w:t>
            </w:r>
          </w:p>
        </w:tc>
        <w:tc>
          <w:tcPr>
            <w:tcW w:w="1276" w:type="dxa"/>
            <w:noWrap/>
            <w:vAlign w:val="center"/>
            <w:hideMark/>
          </w:tcPr>
          <w:p w14:paraId="01C36CD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1" w:type="dxa"/>
            <w:noWrap/>
            <w:vAlign w:val="center"/>
            <w:hideMark/>
          </w:tcPr>
          <w:p w14:paraId="413465CD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12324B8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1" w:type="dxa"/>
            <w:noWrap/>
            <w:hideMark/>
          </w:tcPr>
          <w:p w14:paraId="2E896E83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98" w:type="dxa"/>
            <w:noWrap/>
            <w:hideMark/>
          </w:tcPr>
          <w:p w14:paraId="69616EF4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0,00%</w:t>
            </w:r>
          </w:p>
        </w:tc>
      </w:tr>
      <w:tr w:rsidR="008F0807" w:rsidRPr="008F0807" w14:paraId="4EF0ABB3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14132BDA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76" w:type="dxa"/>
            <w:noWrap/>
            <w:vAlign w:val="center"/>
            <w:hideMark/>
          </w:tcPr>
          <w:p w14:paraId="3E860C0F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32.275,54</w:t>
            </w:r>
          </w:p>
        </w:tc>
        <w:tc>
          <w:tcPr>
            <w:tcW w:w="1276" w:type="dxa"/>
            <w:noWrap/>
            <w:vAlign w:val="center"/>
            <w:hideMark/>
          </w:tcPr>
          <w:p w14:paraId="3789685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46.000,00</w:t>
            </w:r>
          </w:p>
        </w:tc>
        <w:tc>
          <w:tcPr>
            <w:tcW w:w="1161" w:type="dxa"/>
            <w:noWrap/>
            <w:vAlign w:val="center"/>
            <w:hideMark/>
          </w:tcPr>
          <w:p w14:paraId="2D741FEE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5AF9B6E4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45.042,10</w:t>
            </w:r>
          </w:p>
        </w:tc>
        <w:tc>
          <w:tcPr>
            <w:tcW w:w="981" w:type="dxa"/>
            <w:noWrap/>
            <w:hideMark/>
          </w:tcPr>
          <w:p w14:paraId="38EA22F8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139,55%</w:t>
            </w:r>
          </w:p>
        </w:tc>
        <w:tc>
          <w:tcPr>
            <w:tcW w:w="898" w:type="dxa"/>
            <w:noWrap/>
            <w:hideMark/>
          </w:tcPr>
          <w:p w14:paraId="094C4B47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97,92%</w:t>
            </w:r>
          </w:p>
        </w:tc>
      </w:tr>
      <w:tr w:rsidR="008F0807" w:rsidRPr="008F0807" w14:paraId="55CB7E47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01F7C1C1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NETO ZADUŽIVANJE</w:t>
            </w:r>
          </w:p>
        </w:tc>
        <w:tc>
          <w:tcPr>
            <w:tcW w:w="1276" w:type="dxa"/>
            <w:noWrap/>
            <w:vAlign w:val="center"/>
            <w:hideMark/>
          </w:tcPr>
          <w:p w14:paraId="18D0C6C8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211.924,46</w:t>
            </w:r>
          </w:p>
        </w:tc>
        <w:tc>
          <w:tcPr>
            <w:tcW w:w="1276" w:type="dxa"/>
            <w:noWrap/>
            <w:vAlign w:val="center"/>
            <w:hideMark/>
          </w:tcPr>
          <w:p w14:paraId="1C66ACF2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-46.000,00</w:t>
            </w:r>
          </w:p>
        </w:tc>
        <w:tc>
          <w:tcPr>
            <w:tcW w:w="1161" w:type="dxa"/>
            <w:noWrap/>
            <w:vAlign w:val="center"/>
            <w:hideMark/>
          </w:tcPr>
          <w:p w14:paraId="2A057291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-46.000,00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2E08F66D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-45.042,10</w:t>
            </w:r>
          </w:p>
        </w:tc>
        <w:tc>
          <w:tcPr>
            <w:tcW w:w="981" w:type="dxa"/>
            <w:noWrap/>
            <w:hideMark/>
          </w:tcPr>
          <w:p w14:paraId="28E26D98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-21,25%</w:t>
            </w:r>
          </w:p>
        </w:tc>
        <w:tc>
          <w:tcPr>
            <w:tcW w:w="898" w:type="dxa"/>
            <w:noWrap/>
            <w:hideMark/>
          </w:tcPr>
          <w:p w14:paraId="11932A53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97,92%</w:t>
            </w:r>
          </w:p>
        </w:tc>
      </w:tr>
      <w:tr w:rsidR="008F0807" w:rsidRPr="008F0807" w14:paraId="3B770062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7AB8589C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UKUPNI DONOS VIŠKA / MANJKA IZ PRETHODNE(IH) GODINA</w:t>
            </w:r>
          </w:p>
        </w:tc>
        <w:tc>
          <w:tcPr>
            <w:tcW w:w="1276" w:type="dxa"/>
            <w:noWrap/>
            <w:vAlign w:val="center"/>
            <w:hideMark/>
          </w:tcPr>
          <w:p w14:paraId="0D2C4B51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7752129A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1" w:type="dxa"/>
            <w:noWrap/>
            <w:vAlign w:val="center"/>
            <w:hideMark/>
          </w:tcPr>
          <w:p w14:paraId="22A09648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05B21736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1" w:type="dxa"/>
            <w:noWrap/>
            <w:hideMark/>
          </w:tcPr>
          <w:p w14:paraId="1C3117EF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noWrap/>
            <w:hideMark/>
          </w:tcPr>
          <w:p w14:paraId="226FF0D6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F0807" w:rsidRPr="008F0807" w14:paraId="694BFC84" w14:textId="77777777" w:rsidTr="00FF2F4A">
        <w:trPr>
          <w:trHeight w:val="300"/>
        </w:trPr>
        <w:tc>
          <w:tcPr>
            <w:tcW w:w="3969" w:type="dxa"/>
            <w:noWrap/>
            <w:hideMark/>
          </w:tcPr>
          <w:p w14:paraId="5F5683BF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VIŠAK / MANJAK IZ PRETHODNE(IH) GODINE KOJI ĆE SE POKRITI / RASPOREDITI</w:t>
            </w:r>
          </w:p>
        </w:tc>
        <w:tc>
          <w:tcPr>
            <w:tcW w:w="1276" w:type="dxa"/>
            <w:noWrap/>
            <w:vAlign w:val="center"/>
            <w:hideMark/>
          </w:tcPr>
          <w:p w14:paraId="15090F8E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17A673E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1" w:type="dxa"/>
            <w:noWrap/>
            <w:vAlign w:val="center"/>
            <w:hideMark/>
          </w:tcPr>
          <w:p w14:paraId="67B96365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12.064,79</w:t>
            </w:r>
          </w:p>
        </w:tc>
        <w:tc>
          <w:tcPr>
            <w:tcW w:w="1276" w:type="dxa"/>
            <w:noWrap/>
            <w:vAlign w:val="center"/>
            <w:hideMark/>
          </w:tcPr>
          <w:p w14:paraId="4E270AE8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1" w:type="dxa"/>
            <w:noWrap/>
            <w:hideMark/>
          </w:tcPr>
          <w:p w14:paraId="4ADA51BA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898" w:type="dxa"/>
            <w:noWrap/>
            <w:hideMark/>
          </w:tcPr>
          <w:p w14:paraId="347E388B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0,00%</w:t>
            </w:r>
          </w:p>
        </w:tc>
      </w:tr>
      <w:tr w:rsidR="008F0807" w:rsidRPr="008F0807" w14:paraId="728FB8FE" w14:textId="77777777" w:rsidTr="00FF2F4A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232353DC" w14:textId="77777777" w:rsidR="008F0807" w:rsidRPr="008F0807" w:rsidRDefault="008F0807" w:rsidP="00E85DFC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VIŠAK / MANJAK + NETO ZADUŽIVANJE / FINANCIRANJE + KORIŠTENO U PRETHODNIM GODINAMA</w:t>
            </w:r>
          </w:p>
        </w:tc>
        <w:tc>
          <w:tcPr>
            <w:tcW w:w="1276" w:type="dxa"/>
            <w:noWrap/>
            <w:vAlign w:val="center"/>
            <w:hideMark/>
          </w:tcPr>
          <w:p w14:paraId="1D54D4B9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A7180B7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noWrap/>
            <w:vAlign w:val="center"/>
            <w:hideMark/>
          </w:tcPr>
          <w:p w14:paraId="4F63DF92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4584BDE1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1075326A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8" w:type="dxa"/>
            <w:noWrap/>
            <w:hideMark/>
          </w:tcPr>
          <w:p w14:paraId="7B1BBF88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8F0807" w:rsidRPr="008F0807" w14:paraId="416D87E5" w14:textId="77777777" w:rsidTr="00FF2F4A">
        <w:trPr>
          <w:trHeight w:val="300"/>
        </w:trPr>
        <w:tc>
          <w:tcPr>
            <w:tcW w:w="3969" w:type="dxa"/>
            <w:noWrap/>
            <w:vAlign w:val="center"/>
            <w:hideMark/>
          </w:tcPr>
          <w:p w14:paraId="0EB8DA64" w14:textId="77777777" w:rsidR="008F0807" w:rsidRPr="008F0807" w:rsidRDefault="008F0807" w:rsidP="00E85DFC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REZULTAT GODINE</w:t>
            </w:r>
          </w:p>
        </w:tc>
        <w:tc>
          <w:tcPr>
            <w:tcW w:w="1276" w:type="dxa"/>
            <w:noWrap/>
            <w:vAlign w:val="center"/>
            <w:hideMark/>
          </w:tcPr>
          <w:p w14:paraId="649EFA61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4.724,44</w:t>
            </w:r>
          </w:p>
        </w:tc>
        <w:tc>
          <w:tcPr>
            <w:tcW w:w="1276" w:type="dxa"/>
            <w:noWrap/>
            <w:vAlign w:val="center"/>
            <w:hideMark/>
          </w:tcPr>
          <w:p w14:paraId="41F84317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61" w:type="dxa"/>
            <w:noWrap/>
            <w:vAlign w:val="center"/>
            <w:hideMark/>
          </w:tcPr>
          <w:p w14:paraId="6C3299C0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6C415721" w14:textId="77777777" w:rsidR="008F0807" w:rsidRPr="008F0807" w:rsidRDefault="008F0807" w:rsidP="00FF2F4A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-77.577,08</w:t>
            </w:r>
          </w:p>
        </w:tc>
        <w:tc>
          <w:tcPr>
            <w:tcW w:w="981" w:type="dxa"/>
            <w:noWrap/>
            <w:hideMark/>
          </w:tcPr>
          <w:p w14:paraId="21B87AE9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-1642,04%</w:t>
            </w:r>
          </w:p>
        </w:tc>
        <w:tc>
          <w:tcPr>
            <w:tcW w:w="898" w:type="dxa"/>
            <w:noWrap/>
            <w:hideMark/>
          </w:tcPr>
          <w:p w14:paraId="3D50021B" w14:textId="77777777" w:rsidR="008F0807" w:rsidRPr="008F0807" w:rsidRDefault="008F0807" w:rsidP="008F0807">
            <w:pPr>
              <w:pStyle w:val="Bezprored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08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0,00%</w:t>
            </w:r>
          </w:p>
        </w:tc>
      </w:tr>
    </w:tbl>
    <w:p w14:paraId="1D747E15" w14:textId="77777777" w:rsidR="008F0807" w:rsidRPr="008F0807" w:rsidRDefault="008F0807" w:rsidP="008F0807">
      <w:pPr>
        <w:pStyle w:val="Bezproreda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E025B0" w14:textId="77777777" w:rsidR="00520367" w:rsidRDefault="00520367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A4DD802" w14:textId="77777777" w:rsidR="0076178C" w:rsidRPr="00AB59FE" w:rsidRDefault="0076178C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4556F6D" w14:textId="59D781FA" w:rsidR="00254AC6" w:rsidRDefault="001630C9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Sažetak Računa prihoda i rashoda i Računa financiranja sadrži prikaz ukupno ostvarenih prihoda i primitaka</w:t>
      </w:r>
      <w:r w:rsidR="00AA7593">
        <w:rPr>
          <w:rFonts w:ascii="Times New Roman" w:hAnsi="Times New Roman" w:cs="Times New Roman"/>
          <w:sz w:val="28"/>
          <w:szCs w:val="28"/>
        </w:rPr>
        <w:t xml:space="preserve"> poslovanja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CEA">
        <w:rPr>
          <w:rFonts w:ascii="Times New Roman" w:hAnsi="Times New Roman" w:cs="Times New Roman"/>
          <w:sz w:val="28"/>
          <w:szCs w:val="28"/>
        </w:rPr>
        <w:t>u 202</w:t>
      </w:r>
      <w:r w:rsidR="00E85DFC">
        <w:rPr>
          <w:rFonts w:ascii="Times New Roman" w:hAnsi="Times New Roman" w:cs="Times New Roman"/>
          <w:sz w:val="28"/>
          <w:szCs w:val="28"/>
        </w:rPr>
        <w:t>4.</w:t>
      </w:r>
      <w:r w:rsidR="00E85DFC">
        <w:rPr>
          <w:rFonts w:ascii="Times New Roman" w:hAnsi="Times New Roman" w:cs="Times New Roman"/>
          <w:sz w:val="28"/>
          <w:szCs w:val="28"/>
        </w:rPr>
        <w:tab/>
      </w:r>
      <w:r w:rsidR="00254AC6">
        <w:rPr>
          <w:rFonts w:ascii="Times New Roman" w:hAnsi="Times New Roman" w:cs="Times New Roman"/>
          <w:sz w:val="28"/>
          <w:szCs w:val="28"/>
        </w:rPr>
        <w:t>godini ,</w:t>
      </w:r>
      <w:r w:rsidR="00FD2CEA">
        <w:rPr>
          <w:rFonts w:ascii="Times New Roman" w:hAnsi="Times New Roman" w:cs="Times New Roman"/>
          <w:sz w:val="28"/>
          <w:szCs w:val="28"/>
        </w:rPr>
        <w:t xml:space="preserve"> kada su iznosili </w:t>
      </w:r>
      <w:r w:rsidR="006905BE">
        <w:rPr>
          <w:rFonts w:ascii="Times New Roman" w:hAnsi="Times New Roman" w:cs="Times New Roman"/>
          <w:sz w:val="28"/>
          <w:szCs w:val="28"/>
        </w:rPr>
        <w:t xml:space="preserve">1.364.396,28 </w:t>
      </w:r>
      <w:r w:rsidR="00E85DFC">
        <w:rPr>
          <w:rFonts w:ascii="Times New Roman" w:hAnsi="Times New Roman" w:cs="Times New Roman"/>
          <w:sz w:val="28"/>
          <w:szCs w:val="28"/>
        </w:rPr>
        <w:t xml:space="preserve"> </w:t>
      </w:r>
      <w:r w:rsidR="00AA7593">
        <w:rPr>
          <w:rFonts w:ascii="Times New Roman" w:hAnsi="Times New Roman" w:cs="Times New Roman"/>
          <w:sz w:val="28"/>
          <w:szCs w:val="28"/>
        </w:rPr>
        <w:t>eura</w:t>
      </w:r>
      <w:r w:rsidR="006905BE">
        <w:rPr>
          <w:rFonts w:ascii="Times New Roman" w:hAnsi="Times New Roman" w:cs="Times New Roman"/>
          <w:sz w:val="28"/>
          <w:szCs w:val="28"/>
        </w:rPr>
        <w:t xml:space="preserve">, od čega se 211.924,46 </w:t>
      </w:r>
      <w:r w:rsidR="00254AC6">
        <w:rPr>
          <w:rFonts w:ascii="Times New Roman" w:hAnsi="Times New Roman" w:cs="Times New Roman"/>
          <w:sz w:val="28"/>
          <w:szCs w:val="28"/>
        </w:rPr>
        <w:t xml:space="preserve"> </w:t>
      </w:r>
      <w:r w:rsidR="006905BE">
        <w:rPr>
          <w:rFonts w:ascii="Times New Roman" w:hAnsi="Times New Roman" w:cs="Times New Roman"/>
          <w:sz w:val="28"/>
          <w:szCs w:val="28"/>
        </w:rPr>
        <w:t>eura o</w:t>
      </w:r>
      <w:r w:rsidR="00254AC6">
        <w:rPr>
          <w:rFonts w:ascii="Times New Roman" w:hAnsi="Times New Roman" w:cs="Times New Roman"/>
          <w:sz w:val="28"/>
          <w:szCs w:val="28"/>
        </w:rPr>
        <w:t xml:space="preserve">dnosi na prihode od zaduživanja </w:t>
      </w:r>
      <w:r w:rsidR="00AA7593">
        <w:rPr>
          <w:rFonts w:ascii="Times New Roman" w:hAnsi="Times New Roman" w:cs="Times New Roman"/>
          <w:sz w:val="28"/>
          <w:szCs w:val="28"/>
        </w:rPr>
        <w:t xml:space="preserve"> i </w:t>
      </w:r>
      <w:r w:rsidR="006905BE">
        <w:rPr>
          <w:rFonts w:ascii="Times New Roman" w:hAnsi="Times New Roman" w:cs="Times New Roman"/>
          <w:sz w:val="28"/>
          <w:szCs w:val="28"/>
        </w:rPr>
        <w:t xml:space="preserve"> prihode i primitke u </w:t>
      </w:r>
      <w:r w:rsidR="00AA7593">
        <w:rPr>
          <w:rFonts w:ascii="Times New Roman" w:hAnsi="Times New Roman" w:cs="Times New Roman"/>
          <w:sz w:val="28"/>
          <w:szCs w:val="28"/>
        </w:rPr>
        <w:t>202</w:t>
      </w:r>
      <w:r w:rsidR="00E85DFC">
        <w:rPr>
          <w:rFonts w:ascii="Times New Roman" w:hAnsi="Times New Roman" w:cs="Times New Roman"/>
          <w:sz w:val="28"/>
          <w:szCs w:val="28"/>
        </w:rPr>
        <w:t>5</w:t>
      </w:r>
      <w:r w:rsidR="00FD2CEA">
        <w:rPr>
          <w:rFonts w:ascii="Times New Roman" w:hAnsi="Times New Roman" w:cs="Times New Roman"/>
          <w:sz w:val="28"/>
          <w:szCs w:val="28"/>
        </w:rPr>
        <w:t xml:space="preserve">. godini </w:t>
      </w:r>
      <w:r w:rsidR="0042164F">
        <w:rPr>
          <w:rFonts w:ascii="Times New Roman" w:hAnsi="Times New Roman" w:cs="Times New Roman"/>
          <w:sz w:val="28"/>
          <w:szCs w:val="28"/>
        </w:rPr>
        <w:t xml:space="preserve"> koji iznose 1.157.869,58</w:t>
      </w:r>
      <w:r w:rsidR="00AA7593">
        <w:rPr>
          <w:rFonts w:ascii="Times New Roman" w:hAnsi="Times New Roman" w:cs="Times New Roman"/>
          <w:sz w:val="28"/>
          <w:szCs w:val="28"/>
        </w:rPr>
        <w:t xml:space="preserve"> </w:t>
      </w:r>
      <w:r w:rsidR="00FD2CEA">
        <w:rPr>
          <w:rFonts w:ascii="Times New Roman" w:hAnsi="Times New Roman" w:cs="Times New Roman"/>
          <w:sz w:val="28"/>
          <w:szCs w:val="28"/>
        </w:rPr>
        <w:t xml:space="preserve"> eura, te planirane prihode</w:t>
      </w:r>
      <w:r w:rsidR="00E85DFC">
        <w:rPr>
          <w:rFonts w:ascii="Times New Roman" w:hAnsi="Times New Roman" w:cs="Times New Roman"/>
          <w:sz w:val="28"/>
          <w:szCs w:val="28"/>
        </w:rPr>
        <w:t xml:space="preserve"> od 1.355.319,42 eura.</w:t>
      </w:r>
      <w:r w:rsidR="00254AC6">
        <w:rPr>
          <w:rFonts w:ascii="Times New Roman" w:hAnsi="Times New Roman" w:cs="Times New Roman"/>
          <w:sz w:val="28"/>
          <w:szCs w:val="28"/>
        </w:rPr>
        <w:t xml:space="preserve"> </w:t>
      </w:r>
      <w:r w:rsidR="00E85DFC">
        <w:rPr>
          <w:rFonts w:ascii="Times New Roman" w:hAnsi="Times New Roman" w:cs="Times New Roman"/>
          <w:sz w:val="28"/>
          <w:szCs w:val="28"/>
        </w:rPr>
        <w:t xml:space="preserve"> U</w:t>
      </w:r>
      <w:r w:rsidR="00D24344">
        <w:rPr>
          <w:rFonts w:ascii="Times New Roman" w:hAnsi="Times New Roman" w:cs="Times New Roman"/>
          <w:sz w:val="28"/>
          <w:szCs w:val="28"/>
        </w:rPr>
        <w:t xml:space="preserve"> sažetku su iskazani ukupni rashod</w:t>
      </w:r>
      <w:r w:rsidR="00AA7593">
        <w:rPr>
          <w:rFonts w:ascii="Times New Roman" w:hAnsi="Times New Roman" w:cs="Times New Roman"/>
          <w:sz w:val="28"/>
          <w:szCs w:val="28"/>
        </w:rPr>
        <w:t xml:space="preserve">i poslovanja </w:t>
      </w:r>
      <w:r w:rsidR="006905BE">
        <w:rPr>
          <w:rFonts w:ascii="Times New Roman" w:hAnsi="Times New Roman" w:cs="Times New Roman"/>
          <w:sz w:val="28"/>
          <w:szCs w:val="28"/>
        </w:rPr>
        <w:t xml:space="preserve"> koji su u </w:t>
      </w:r>
      <w:r w:rsidR="00D24344">
        <w:rPr>
          <w:rFonts w:ascii="Times New Roman" w:hAnsi="Times New Roman" w:cs="Times New Roman"/>
          <w:sz w:val="28"/>
          <w:szCs w:val="28"/>
        </w:rPr>
        <w:t xml:space="preserve"> 202</w:t>
      </w:r>
      <w:r w:rsidR="006905BE">
        <w:rPr>
          <w:rFonts w:ascii="Times New Roman" w:hAnsi="Times New Roman" w:cs="Times New Roman"/>
          <w:sz w:val="28"/>
          <w:szCs w:val="28"/>
        </w:rPr>
        <w:t>5</w:t>
      </w:r>
      <w:r w:rsidR="00D24344">
        <w:rPr>
          <w:rFonts w:ascii="Times New Roman" w:hAnsi="Times New Roman" w:cs="Times New Roman"/>
          <w:sz w:val="28"/>
          <w:szCs w:val="28"/>
        </w:rPr>
        <w:t xml:space="preserve">. godini u iznosu od </w:t>
      </w:r>
      <w:r w:rsidR="006905BE">
        <w:rPr>
          <w:rFonts w:ascii="Times New Roman" w:hAnsi="Times New Roman" w:cs="Times New Roman"/>
          <w:sz w:val="28"/>
          <w:szCs w:val="28"/>
        </w:rPr>
        <w:t>1.235.446,66 eura ,</w:t>
      </w:r>
      <w:r w:rsidR="00D24344">
        <w:rPr>
          <w:rFonts w:ascii="Times New Roman" w:hAnsi="Times New Roman" w:cs="Times New Roman"/>
          <w:sz w:val="28"/>
          <w:szCs w:val="28"/>
        </w:rPr>
        <w:t xml:space="preserve"> a u </w:t>
      </w:r>
      <w:r w:rsidR="006905BE">
        <w:rPr>
          <w:rFonts w:ascii="Times New Roman" w:hAnsi="Times New Roman" w:cs="Times New Roman"/>
          <w:sz w:val="28"/>
          <w:szCs w:val="28"/>
        </w:rPr>
        <w:t xml:space="preserve">prethodnoj  </w:t>
      </w:r>
      <w:r w:rsidR="00D24344">
        <w:rPr>
          <w:rFonts w:ascii="Times New Roman" w:hAnsi="Times New Roman" w:cs="Times New Roman"/>
          <w:sz w:val="28"/>
          <w:szCs w:val="28"/>
        </w:rPr>
        <w:t xml:space="preserve"> godini iznosili su </w:t>
      </w:r>
      <w:r w:rsidR="006905BE">
        <w:rPr>
          <w:rFonts w:ascii="Times New Roman" w:hAnsi="Times New Roman" w:cs="Times New Roman"/>
          <w:sz w:val="28"/>
          <w:szCs w:val="28"/>
        </w:rPr>
        <w:t xml:space="preserve"> 1.359.671,84</w:t>
      </w:r>
      <w:r w:rsidR="00AA7593">
        <w:rPr>
          <w:rFonts w:ascii="Times New Roman" w:hAnsi="Times New Roman" w:cs="Times New Roman"/>
          <w:sz w:val="28"/>
          <w:szCs w:val="28"/>
        </w:rPr>
        <w:t xml:space="preserve"> </w:t>
      </w:r>
      <w:r w:rsidR="00D24344">
        <w:rPr>
          <w:rFonts w:ascii="Times New Roman" w:hAnsi="Times New Roman" w:cs="Times New Roman"/>
          <w:sz w:val="28"/>
          <w:szCs w:val="28"/>
        </w:rPr>
        <w:t xml:space="preserve"> eura. Sažetak je zbroj podataka koji su detaljno iskazani u ostalim dijelovima izvještaja o izvršenju financijskog plana. </w:t>
      </w:r>
      <w:r w:rsidR="00101E08">
        <w:rPr>
          <w:rFonts w:ascii="Times New Roman" w:hAnsi="Times New Roman" w:cs="Times New Roman"/>
          <w:sz w:val="28"/>
          <w:szCs w:val="28"/>
        </w:rPr>
        <w:t xml:space="preserve"> Iz sažetka ve vidljivo da su ostvareni prihodi </w:t>
      </w:r>
      <w:r w:rsidR="00254AC6">
        <w:rPr>
          <w:rFonts w:ascii="Times New Roman" w:hAnsi="Times New Roman" w:cs="Times New Roman"/>
          <w:sz w:val="28"/>
          <w:szCs w:val="28"/>
        </w:rPr>
        <w:t xml:space="preserve"> poslovanja </w:t>
      </w:r>
      <w:r w:rsidR="00101E08">
        <w:rPr>
          <w:rFonts w:ascii="Times New Roman" w:hAnsi="Times New Roman" w:cs="Times New Roman"/>
          <w:sz w:val="28"/>
          <w:szCs w:val="28"/>
        </w:rPr>
        <w:t>u 202</w:t>
      </w:r>
      <w:r w:rsidR="006905BE">
        <w:rPr>
          <w:rFonts w:ascii="Times New Roman" w:hAnsi="Times New Roman" w:cs="Times New Roman"/>
          <w:sz w:val="28"/>
          <w:szCs w:val="28"/>
        </w:rPr>
        <w:t>5</w:t>
      </w:r>
      <w:r w:rsidR="00101E08">
        <w:rPr>
          <w:rFonts w:ascii="Times New Roman" w:hAnsi="Times New Roman" w:cs="Times New Roman"/>
          <w:sz w:val="28"/>
          <w:szCs w:val="28"/>
        </w:rPr>
        <w:t>. godini</w:t>
      </w:r>
      <w:r w:rsidR="0042164F">
        <w:rPr>
          <w:rFonts w:ascii="Times New Roman" w:hAnsi="Times New Roman" w:cs="Times New Roman"/>
          <w:sz w:val="28"/>
          <w:szCs w:val="28"/>
        </w:rPr>
        <w:t xml:space="preserve"> </w:t>
      </w:r>
      <w:r w:rsidR="00254AC6">
        <w:rPr>
          <w:rFonts w:ascii="Times New Roman" w:hAnsi="Times New Roman" w:cs="Times New Roman"/>
          <w:sz w:val="28"/>
          <w:szCs w:val="28"/>
        </w:rPr>
        <w:t xml:space="preserve">veći za 3,36 %, dok su ukupni prihodi </w:t>
      </w:r>
      <w:r w:rsidR="0042164F">
        <w:rPr>
          <w:rFonts w:ascii="Times New Roman" w:hAnsi="Times New Roman" w:cs="Times New Roman"/>
          <w:sz w:val="28"/>
          <w:szCs w:val="28"/>
        </w:rPr>
        <w:t xml:space="preserve">manji za </w:t>
      </w:r>
      <w:r w:rsidR="00254AC6">
        <w:rPr>
          <w:rFonts w:ascii="Times New Roman" w:hAnsi="Times New Roman" w:cs="Times New Roman"/>
          <w:sz w:val="28"/>
          <w:szCs w:val="28"/>
        </w:rPr>
        <w:t>15,14%</w:t>
      </w:r>
      <w:r w:rsidR="0076178C">
        <w:rPr>
          <w:rFonts w:ascii="Times New Roman" w:hAnsi="Times New Roman" w:cs="Times New Roman"/>
          <w:sz w:val="28"/>
          <w:szCs w:val="28"/>
        </w:rPr>
        <w:t>, koliko su približno u ukupnim prohodima sudjelovali prihodi od zaduživanja.</w:t>
      </w:r>
    </w:p>
    <w:p w14:paraId="3A12A934" w14:textId="3BA230A8" w:rsidR="00520367" w:rsidRDefault="00101E08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178E4" w14:textId="77777777" w:rsidR="0076178C" w:rsidRDefault="0076178C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437B5E2" w14:textId="77777777" w:rsidR="005F18D0" w:rsidRDefault="005F18D0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8498921" w14:textId="33BE93B2" w:rsidR="005F18D0" w:rsidRDefault="005F18D0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5F18D0">
        <w:rPr>
          <w:rFonts w:ascii="Times New Roman" w:hAnsi="Times New Roman" w:cs="Times New Roman"/>
          <w:b/>
          <w:sz w:val="28"/>
          <w:szCs w:val="28"/>
        </w:rPr>
        <w:t>AD 1 B)  RAČUN PRIHODA I RASHODA</w:t>
      </w:r>
    </w:p>
    <w:p w14:paraId="3134D561" w14:textId="77777777" w:rsidR="005F18D0" w:rsidRDefault="005F18D0" w:rsidP="00520367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2EAA92D" w14:textId="1FAAF331" w:rsidR="005F18D0" w:rsidRDefault="005F18D0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F18D0">
        <w:rPr>
          <w:rFonts w:ascii="Times New Roman" w:hAnsi="Times New Roman" w:cs="Times New Roman"/>
          <w:sz w:val="28"/>
          <w:szCs w:val="28"/>
        </w:rPr>
        <w:t xml:space="preserve">Račun prihoda i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5F18D0">
        <w:rPr>
          <w:rFonts w:ascii="Times New Roman" w:hAnsi="Times New Roman" w:cs="Times New Roman"/>
          <w:sz w:val="28"/>
          <w:szCs w:val="28"/>
        </w:rPr>
        <w:t xml:space="preserve">ashoda </w:t>
      </w:r>
      <w:r>
        <w:rPr>
          <w:rFonts w:ascii="Times New Roman" w:hAnsi="Times New Roman" w:cs="Times New Roman"/>
          <w:sz w:val="28"/>
          <w:szCs w:val="28"/>
        </w:rPr>
        <w:t>sadrži prikaz prihoda i rashoda i iska</w:t>
      </w:r>
      <w:r w:rsidR="00C724F5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uj</w:t>
      </w:r>
      <w:r w:rsidR="00C724F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se prama proračunskom klasifikacijama u izvještajima:</w:t>
      </w:r>
    </w:p>
    <w:p w14:paraId="14B8EFA8" w14:textId="5ACD4FF1" w:rsidR="005F18D0" w:rsidRDefault="005F18D0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Izvještaj o prihod</w:t>
      </w:r>
      <w:r w:rsidR="00C724F5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ma i rashodima prema ekonomskoj klasifikaciji </w:t>
      </w:r>
    </w:p>
    <w:p w14:paraId="35CC33C5" w14:textId="02C159FE" w:rsidR="005F18D0" w:rsidRDefault="005F18D0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Izvještaj o prihodima i rashodima prema izvorima financiranja</w:t>
      </w:r>
    </w:p>
    <w:p w14:paraId="0F1390C6" w14:textId="7CA5C74E" w:rsidR="00C724F5" w:rsidRDefault="00C724F5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Izvještaj o rashodima prama funkcijskoj klasifikaciji</w:t>
      </w:r>
    </w:p>
    <w:p w14:paraId="7EDBF132" w14:textId="77777777" w:rsidR="00C724F5" w:rsidRDefault="00C724F5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6C100BA" w14:textId="4F1C2BDD" w:rsidR="00C724F5" w:rsidRDefault="00C724F5" w:rsidP="00520367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Izvještaj o prihodima i rashodima prema ekonomskoj klasifikaciji sadrži prikaz prihoda i rashoda prema ekonomskoj klasifikaciji na razini razreda, skupine , podskupine i odjeljka ekonomske klasifikacije. Ekonomska klasifikacija sadrži </w:t>
      </w:r>
    </w:p>
    <w:p w14:paraId="25703CA3" w14:textId="77777777" w:rsidR="00746A2A" w:rsidRDefault="00AA7230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prihode i primitke po prirodnim vrstama, te rashode i izdatke prema njihovoj ekonomskoj namjeni  i istovjetna je većem dijelu računa iz računskog plana, koji predstavlja širi okvir i podlogu za računovodstvene evidencije poslovnih događaja u sustavu proračuna.  Smatramo da je i p</w:t>
      </w:r>
      <w:r w:rsidR="0014086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dskupina  922 i njoj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pripadajući odjeljci isto dio ekonomske klasifikacije, jer se bez ove skupine ne može pratiti plan korištenje viška i  pokriće manjka, a time nije zadovoljeno </w:t>
      </w:r>
    </w:p>
    <w:p w14:paraId="3C2F442E" w14:textId="200C3C4F" w:rsidR="00AA7230" w:rsidRDefault="00AA7230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načelo uravnoteženosti, propisano čl. 10. Zakona o proračunu, pa smo radi toga iskazali i stanja ra računima skupine 922.</w:t>
      </w:r>
    </w:p>
    <w:p w14:paraId="463BB003" w14:textId="77777777" w:rsidR="0076178C" w:rsidRDefault="0076178C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ADC3B6D" w14:textId="77777777" w:rsidR="0076178C" w:rsidRDefault="0076178C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DE0CAB8" w14:textId="77777777" w:rsidR="0076178C" w:rsidRDefault="0076178C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3CDD413" w14:textId="77777777" w:rsidR="0076178C" w:rsidRDefault="0076178C" w:rsidP="00AA723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38E8A58" w14:textId="0E5E169B" w:rsidR="00FB075C" w:rsidRDefault="00FB075C" w:rsidP="007F713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-4-</w:t>
      </w:r>
    </w:p>
    <w:p w14:paraId="229B7E0D" w14:textId="0B808E44" w:rsidR="007F7132" w:rsidRPr="007F7132" w:rsidRDefault="007F7132" w:rsidP="007F7132">
      <w:pPr>
        <w:pStyle w:val="Bezproreda"/>
        <w:jc w:val="center"/>
        <w:rPr>
          <w:rFonts w:ascii="Times New Roman" w:hAnsi="Times New Roman" w:cs="Times New Roman"/>
          <w:b/>
        </w:rPr>
      </w:pPr>
      <w:r w:rsidRPr="007F7132">
        <w:rPr>
          <w:rFonts w:ascii="Times New Roman" w:hAnsi="Times New Roman" w:cs="Times New Roman"/>
          <w:b/>
        </w:rPr>
        <w:t>IZVJEŠTAJ O PRIHODIMA I RASHODIMA PO EKONOMSKOJ KLASIFIKACIJI OSTVARENIM U RAZDOBLJU OD 01. 01. - 31. 12. 202</w:t>
      </w:r>
      <w:r>
        <w:rPr>
          <w:rFonts w:ascii="Times New Roman" w:hAnsi="Times New Roman" w:cs="Times New Roman"/>
          <w:b/>
        </w:rPr>
        <w:t>5</w:t>
      </w:r>
      <w:r w:rsidRPr="007F7132">
        <w:rPr>
          <w:rFonts w:ascii="Times New Roman" w:hAnsi="Times New Roman" w:cs="Times New Roman"/>
          <w:b/>
        </w:rPr>
        <w:t>.</w:t>
      </w:r>
    </w:p>
    <w:p w14:paraId="6EAB2665" w14:textId="77777777" w:rsidR="00E119E7" w:rsidRPr="007F7132" w:rsidRDefault="00E119E7" w:rsidP="00C5365B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13DF922D" w14:textId="77777777" w:rsidR="007F7132" w:rsidRDefault="007F7132" w:rsidP="00C5365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4253"/>
        <w:gridCol w:w="1418"/>
        <w:gridCol w:w="1266"/>
        <w:gridCol w:w="1266"/>
        <w:gridCol w:w="1276"/>
        <w:gridCol w:w="966"/>
        <w:gridCol w:w="866"/>
      </w:tblGrid>
      <w:tr w:rsidR="007F7132" w:rsidRPr="007F7132" w14:paraId="5AFF4F37" w14:textId="77777777" w:rsidTr="002F3AF5">
        <w:trPr>
          <w:trHeight w:val="375"/>
        </w:trPr>
        <w:tc>
          <w:tcPr>
            <w:tcW w:w="11057" w:type="dxa"/>
            <w:gridSpan w:val="7"/>
            <w:noWrap/>
            <w:vAlign w:val="center"/>
            <w:hideMark/>
          </w:tcPr>
          <w:p w14:paraId="553B3223" w14:textId="30C23EB0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7F7132">
              <w:rPr>
                <w:rFonts w:ascii="Times New Roman" w:hAnsi="Times New Roman" w:cs="Times New Roman"/>
                <w:b/>
                <w:bCs/>
              </w:rPr>
              <w:t>Prihodi i rashodi prema ekonomskoj klasifikaciji</w:t>
            </w:r>
          </w:p>
        </w:tc>
      </w:tr>
      <w:tr w:rsidR="007F7132" w:rsidRPr="007F7132" w14:paraId="7577E2D2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64828F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418" w:type="dxa"/>
            <w:noWrap/>
            <w:vAlign w:val="center"/>
            <w:hideMark/>
          </w:tcPr>
          <w:p w14:paraId="3957652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266" w:type="dxa"/>
            <w:noWrap/>
            <w:vAlign w:val="center"/>
            <w:hideMark/>
          </w:tcPr>
          <w:p w14:paraId="68D0DE4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2025.</w:t>
            </w:r>
          </w:p>
        </w:tc>
        <w:tc>
          <w:tcPr>
            <w:tcW w:w="1266" w:type="dxa"/>
            <w:noWrap/>
            <w:vAlign w:val="center"/>
            <w:hideMark/>
          </w:tcPr>
          <w:p w14:paraId="2FEBA0A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1276" w:type="dxa"/>
            <w:noWrap/>
            <w:vAlign w:val="center"/>
            <w:hideMark/>
          </w:tcPr>
          <w:p w14:paraId="7D7F319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2025.</w:t>
            </w:r>
          </w:p>
        </w:tc>
        <w:tc>
          <w:tcPr>
            <w:tcW w:w="966" w:type="dxa"/>
            <w:noWrap/>
            <w:vAlign w:val="center"/>
            <w:hideMark/>
          </w:tcPr>
          <w:p w14:paraId="139E183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612" w:type="dxa"/>
            <w:noWrap/>
            <w:vAlign w:val="center"/>
            <w:hideMark/>
          </w:tcPr>
          <w:p w14:paraId="3312DB6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4/3</w:t>
            </w:r>
          </w:p>
        </w:tc>
      </w:tr>
      <w:tr w:rsidR="007F7132" w:rsidRPr="007F7132" w14:paraId="0D547652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13457B6B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RAČUN PRIHODA I RASHODA</w:t>
            </w:r>
          </w:p>
        </w:tc>
        <w:tc>
          <w:tcPr>
            <w:tcW w:w="1418" w:type="dxa"/>
            <w:noWrap/>
            <w:vAlign w:val="center"/>
            <w:hideMark/>
          </w:tcPr>
          <w:p w14:paraId="6B9C655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vAlign w:val="center"/>
            <w:hideMark/>
          </w:tcPr>
          <w:p w14:paraId="69E9115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noWrap/>
            <w:vAlign w:val="center"/>
            <w:hideMark/>
          </w:tcPr>
          <w:p w14:paraId="2D4B73A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2A08BD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6" w:type="dxa"/>
            <w:noWrap/>
            <w:vAlign w:val="center"/>
            <w:hideMark/>
          </w:tcPr>
          <w:p w14:paraId="2422479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2" w:type="dxa"/>
            <w:noWrap/>
            <w:vAlign w:val="center"/>
            <w:hideMark/>
          </w:tcPr>
          <w:p w14:paraId="52226A4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F7132" w:rsidRPr="007F7132" w14:paraId="34155BFA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C4BEEAB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418" w:type="dxa"/>
            <w:noWrap/>
            <w:vAlign w:val="center"/>
            <w:hideMark/>
          </w:tcPr>
          <w:p w14:paraId="08100FE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1.120.196,28</w:t>
            </w:r>
          </w:p>
        </w:tc>
        <w:tc>
          <w:tcPr>
            <w:tcW w:w="1266" w:type="dxa"/>
            <w:noWrap/>
            <w:vAlign w:val="center"/>
            <w:hideMark/>
          </w:tcPr>
          <w:p w14:paraId="6B3E0B0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noWrap/>
            <w:vAlign w:val="center"/>
            <w:hideMark/>
          </w:tcPr>
          <w:p w14:paraId="4639A85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1.355.319,42</w:t>
            </w:r>
          </w:p>
        </w:tc>
        <w:tc>
          <w:tcPr>
            <w:tcW w:w="1276" w:type="dxa"/>
            <w:noWrap/>
            <w:vAlign w:val="center"/>
            <w:hideMark/>
          </w:tcPr>
          <w:p w14:paraId="2CFAFBA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1.157.869,58</w:t>
            </w:r>
          </w:p>
        </w:tc>
        <w:tc>
          <w:tcPr>
            <w:tcW w:w="966" w:type="dxa"/>
            <w:noWrap/>
            <w:vAlign w:val="center"/>
            <w:hideMark/>
          </w:tcPr>
          <w:p w14:paraId="3395E3E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103,36%</w:t>
            </w:r>
          </w:p>
        </w:tc>
        <w:tc>
          <w:tcPr>
            <w:tcW w:w="612" w:type="dxa"/>
            <w:noWrap/>
            <w:vAlign w:val="center"/>
            <w:hideMark/>
          </w:tcPr>
          <w:p w14:paraId="1855F14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85,43%</w:t>
            </w:r>
          </w:p>
        </w:tc>
      </w:tr>
      <w:tr w:rsidR="007F7132" w:rsidRPr="007F7132" w14:paraId="49F290F0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27647FC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64 Prihodi od imovine</w:t>
            </w:r>
          </w:p>
        </w:tc>
        <w:tc>
          <w:tcPr>
            <w:tcW w:w="1418" w:type="dxa"/>
            <w:noWrap/>
            <w:vAlign w:val="center"/>
            <w:hideMark/>
          </w:tcPr>
          <w:p w14:paraId="7EB450E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2,22</w:t>
            </w:r>
          </w:p>
        </w:tc>
        <w:tc>
          <w:tcPr>
            <w:tcW w:w="1266" w:type="dxa"/>
            <w:noWrap/>
            <w:vAlign w:val="center"/>
            <w:hideMark/>
          </w:tcPr>
          <w:p w14:paraId="6691B81D" w14:textId="6B2D885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7F5121E6" w14:textId="4CD3CC2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8E6DF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1,34</w:t>
            </w:r>
          </w:p>
        </w:tc>
        <w:tc>
          <w:tcPr>
            <w:tcW w:w="966" w:type="dxa"/>
            <w:noWrap/>
            <w:vAlign w:val="center"/>
            <w:hideMark/>
          </w:tcPr>
          <w:p w14:paraId="011C73E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60,36%</w:t>
            </w:r>
          </w:p>
        </w:tc>
        <w:tc>
          <w:tcPr>
            <w:tcW w:w="612" w:type="dxa"/>
            <w:noWrap/>
            <w:vAlign w:val="center"/>
            <w:hideMark/>
          </w:tcPr>
          <w:p w14:paraId="3B97CF25" w14:textId="6FB5200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0362BA6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9AF2BF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641 Prihodi od financijske imovine</w:t>
            </w:r>
          </w:p>
        </w:tc>
        <w:tc>
          <w:tcPr>
            <w:tcW w:w="1418" w:type="dxa"/>
            <w:noWrap/>
            <w:vAlign w:val="center"/>
            <w:hideMark/>
          </w:tcPr>
          <w:p w14:paraId="5036885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2,22</w:t>
            </w:r>
          </w:p>
        </w:tc>
        <w:tc>
          <w:tcPr>
            <w:tcW w:w="1266" w:type="dxa"/>
            <w:noWrap/>
            <w:vAlign w:val="center"/>
            <w:hideMark/>
          </w:tcPr>
          <w:p w14:paraId="57190A68" w14:textId="744B61C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76B11656" w14:textId="0AF42F2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B2EA4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1,34</w:t>
            </w:r>
          </w:p>
        </w:tc>
        <w:tc>
          <w:tcPr>
            <w:tcW w:w="966" w:type="dxa"/>
            <w:noWrap/>
            <w:vAlign w:val="center"/>
            <w:hideMark/>
          </w:tcPr>
          <w:p w14:paraId="24D2D4E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60,36%</w:t>
            </w:r>
          </w:p>
        </w:tc>
        <w:tc>
          <w:tcPr>
            <w:tcW w:w="612" w:type="dxa"/>
            <w:noWrap/>
            <w:vAlign w:val="center"/>
            <w:hideMark/>
          </w:tcPr>
          <w:p w14:paraId="473E685A" w14:textId="129B975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5F9A734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93548CE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6413 Kamate na oročena sredstva i depozite po viđenju</w:t>
            </w:r>
          </w:p>
        </w:tc>
        <w:tc>
          <w:tcPr>
            <w:tcW w:w="1418" w:type="dxa"/>
            <w:noWrap/>
            <w:vAlign w:val="center"/>
            <w:hideMark/>
          </w:tcPr>
          <w:p w14:paraId="0C370E4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2,22</w:t>
            </w:r>
          </w:p>
        </w:tc>
        <w:tc>
          <w:tcPr>
            <w:tcW w:w="1266" w:type="dxa"/>
            <w:noWrap/>
            <w:vAlign w:val="center"/>
            <w:hideMark/>
          </w:tcPr>
          <w:p w14:paraId="372CAFC3" w14:textId="54C17C7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85F951F" w14:textId="1DD12C9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5E8927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1,34</w:t>
            </w:r>
          </w:p>
        </w:tc>
        <w:tc>
          <w:tcPr>
            <w:tcW w:w="966" w:type="dxa"/>
            <w:noWrap/>
            <w:vAlign w:val="center"/>
            <w:hideMark/>
          </w:tcPr>
          <w:p w14:paraId="1647AEA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60,36%</w:t>
            </w:r>
          </w:p>
        </w:tc>
        <w:tc>
          <w:tcPr>
            <w:tcW w:w="612" w:type="dxa"/>
            <w:noWrap/>
            <w:vAlign w:val="center"/>
            <w:hideMark/>
          </w:tcPr>
          <w:p w14:paraId="57042B30" w14:textId="7609F84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32CAC9C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5905CC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418" w:type="dxa"/>
            <w:noWrap/>
            <w:vAlign w:val="center"/>
            <w:hideMark/>
          </w:tcPr>
          <w:p w14:paraId="6E43B41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268,57</w:t>
            </w:r>
          </w:p>
        </w:tc>
        <w:tc>
          <w:tcPr>
            <w:tcW w:w="1266" w:type="dxa"/>
            <w:noWrap/>
            <w:vAlign w:val="center"/>
            <w:hideMark/>
          </w:tcPr>
          <w:p w14:paraId="36612EAD" w14:textId="7CA84F4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948659C" w14:textId="5FF6605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96EE57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363,56</w:t>
            </w:r>
          </w:p>
        </w:tc>
        <w:tc>
          <w:tcPr>
            <w:tcW w:w="966" w:type="dxa"/>
            <w:noWrap/>
            <w:vAlign w:val="center"/>
            <w:hideMark/>
          </w:tcPr>
          <w:p w14:paraId="2E64FCB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135,37%</w:t>
            </w:r>
          </w:p>
        </w:tc>
        <w:tc>
          <w:tcPr>
            <w:tcW w:w="612" w:type="dxa"/>
            <w:noWrap/>
            <w:vAlign w:val="center"/>
            <w:hideMark/>
          </w:tcPr>
          <w:p w14:paraId="7340ACA8" w14:textId="7787093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E1C3810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3E68EA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652 Prihodi po posebnim propisima</w:t>
            </w:r>
          </w:p>
        </w:tc>
        <w:tc>
          <w:tcPr>
            <w:tcW w:w="1418" w:type="dxa"/>
            <w:noWrap/>
            <w:vAlign w:val="center"/>
            <w:hideMark/>
          </w:tcPr>
          <w:p w14:paraId="2EFB561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268,57</w:t>
            </w:r>
          </w:p>
        </w:tc>
        <w:tc>
          <w:tcPr>
            <w:tcW w:w="1266" w:type="dxa"/>
            <w:noWrap/>
            <w:vAlign w:val="center"/>
            <w:hideMark/>
          </w:tcPr>
          <w:p w14:paraId="7B2182E5" w14:textId="09DB962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FA77849" w14:textId="481BD26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BE745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363,56</w:t>
            </w:r>
          </w:p>
        </w:tc>
        <w:tc>
          <w:tcPr>
            <w:tcW w:w="966" w:type="dxa"/>
            <w:noWrap/>
            <w:vAlign w:val="center"/>
            <w:hideMark/>
          </w:tcPr>
          <w:p w14:paraId="3382160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135,37%</w:t>
            </w:r>
          </w:p>
        </w:tc>
        <w:tc>
          <w:tcPr>
            <w:tcW w:w="612" w:type="dxa"/>
            <w:noWrap/>
            <w:vAlign w:val="center"/>
            <w:hideMark/>
          </w:tcPr>
          <w:p w14:paraId="2094F8DF" w14:textId="127A922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0A2E09C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B9F885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6526 Ostali nespomenuti prihodi</w:t>
            </w:r>
          </w:p>
        </w:tc>
        <w:tc>
          <w:tcPr>
            <w:tcW w:w="1418" w:type="dxa"/>
            <w:noWrap/>
            <w:vAlign w:val="center"/>
            <w:hideMark/>
          </w:tcPr>
          <w:p w14:paraId="623F4DB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268,57</w:t>
            </w:r>
          </w:p>
        </w:tc>
        <w:tc>
          <w:tcPr>
            <w:tcW w:w="1266" w:type="dxa"/>
            <w:noWrap/>
            <w:vAlign w:val="center"/>
            <w:hideMark/>
          </w:tcPr>
          <w:p w14:paraId="31958873" w14:textId="6E644FE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50A0803D" w14:textId="195B170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864838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363,56</w:t>
            </w:r>
          </w:p>
        </w:tc>
        <w:tc>
          <w:tcPr>
            <w:tcW w:w="966" w:type="dxa"/>
            <w:noWrap/>
            <w:vAlign w:val="center"/>
            <w:hideMark/>
          </w:tcPr>
          <w:p w14:paraId="03174E1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135,37%</w:t>
            </w:r>
          </w:p>
        </w:tc>
        <w:tc>
          <w:tcPr>
            <w:tcW w:w="612" w:type="dxa"/>
            <w:noWrap/>
            <w:vAlign w:val="center"/>
            <w:hideMark/>
          </w:tcPr>
          <w:p w14:paraId="301C16C9" w14:textId="0344A02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897F8D4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438F8502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1418" w:type="dxa"/>
            <w:noWrap/>
            <w:vAlign w:val="center"/>
            <w:hideMark/>
          </w:tcPr>
          <w:p w14:paraId="73EE6A6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41.847,14</w:t>
            </w:r>
          </w:p>
        </w:tc>
        <w:tc>
          <w:tcPr>
            <w:tcW w:w="1266" w:type="dxa"/>
            <w:noWrap/>
            <w:vAlign w:val="center"/>
            <w:hideMark/>
          </w:tcPr>
          <w:p w14:paraId="1C73DE1D" w14:textId="568E6E6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241CAE1E" w14:textId="312D8A7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B50757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19.271,58</w:t>
            </w:r>
          </w:p>
        </w:tc>
        <w:tc>
          <w:tcPr>
            <w:tcW w:w="966" w:type="dxa"/>
            <w:noWrap/>
            <w:vAlign w:val="center"/>
            <w:hideMark/>
          </w:tcPr>
          <w:p w14:paraId="58B805E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46,05%</w:t>
            </w:r>
          </w:p>
        </w:tc>
        <w:tc>
          <w:tcPr>
            <w:tcW w:w="612" w:type="dxa"/>
            <w:noWrap/>
            <w:vAlign w:val="center"/>
            <w:hideMark/>
          </w:tcPr>
          <w:p w14:paraId="26C7C331" w14:textId="7AC1D44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3AB961E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5931C889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661 Prihodi od prodaje proizvoda i robe te pruženih usluga</w:t>
            </w:r>
          </w:p>
        </w:tc>
        <w:tc>
          <w:tcPr>
            <w:tcW w:w="1418" w:type="dxa"/>
            <w:noWrap/>
            <w:vAlign w:val="center"/>
            <w:hideMark/>
          </w:tcPr>
          <w:p w14:paraId="65E722B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31.747,14</w:t>
            </w:r>
          </w:p>
        </w:tc>
        <w:tc>
          <w:tcPr>
            <w:tcW w:w="1266" w:type="dxa"/>
            <w:noWrap/>
            <w:vAlign w:val="center"/>
            <w:hideMark/>
          </w:tcPr>
          <w:p w14:paraId="6F2B6C04" w14:textId="3B2570B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6FDBD5BA" w14:textId="2661D78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FA33F9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18.471,58</w:t>
            </w:r>
          </w:p>
        </w:tc>
        <w:tc>
          <w:tcPr>
            <w:tcW w:w="966" w:type="dxa"/>
            <w:noWrap/>
            <w:vAlign w:val="center"/>
            <w:hideMark/>
          </w:tcPr>
          <w:p w14:paraId="14CABFC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58,18%</w:t>
            </w:r>
          </w:p>
        </w:tc>
        <w:tc>
          <w:tcPr>
            <w:tcW w:w="612" w:type="dxa"/>
            <w:noWrap/>
            <w:vAlign w:val="center"/>
            <w:hideMark/>
          </w:tcPr>
          <w:p w14:paraId="412AD7F5" w14:textId="78F9CA9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2DBC5E7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08AAB4A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6615 Prihodi od pruženih usluga</w:t>
            </w:r>
          </w:p>
        </w:tc>
        <w:tc>
          <w:tcPr>
            <w:tcW w:w="1418" w:type="dxa"/>
            <w:noWrap/>
            <w:vAlign w:val="center"/>
            <w:hideMark/>
          </w:tcPr>
          <w:p w14:paraId="17E0FD2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31.747,14</w:t>
            </w:r>
          </w:p>
        </w:tc>
        <w:tc>
          <w:tcPr>
            <w:tcW w:w="1266" w:type="dxa"/>
            <w:noWrap/>
            <w:vAlign w:val="center"/>
            <w:hideMark/>
          </w:tcPr>
          <w:p w14:paraId="2D5D7C05" w14:textId="12960E9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766B8908" w14:textId="21BB7C3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74E11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18.471,58</w:t>
            </w:r>
          </w:p>
        </w:tc>
        <w:tc>
          <w:tcPr>
            <w:tcW w:w="966" w:type="dxa"/>
            <w:noWrap/>
            <w:vAlign w:val="center"/>
            <w:hideMark/>
          </w:tcPr>
          <w:p w14:paraId="1CECA38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58,18%</w:t>
            </w:r>
          </w:p>
        </w:tc>
        <w:tc>
          <w:tcPr>
            <w:tcW w:w="612" w:type="dxa"/>
            <w:noWrap/>
            <w:vAlign w:val="center"/>
            <w:hideMark/>
          </w:tcPr>
          <w:p w14:paraId="3D4B0A6D" w14:textId="21DECE9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453B297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4443DB47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663 Donacije od pravnih i fizičkih osoba izvan općeg proračuna te povrat donacija i kapitalnih pomoći po</w:t>
            </w:r>
          </w:p>
        </w:tc>
        <w:tc>
          <w:tcPr>
            <w:tcW w:w="1418" w:type="dxa"/>
            <w:noWrap/>
            <w:vAlign w:val="center"/>
            <w:hideMark/>
          </w:tcPr>
          <w:p w14:paraId="7A3FFAA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10.100,00</w:t>
            </w:r>
          </w:p>
        </w:tc>
        <w:tc>
          <w:tcPr>
            <w:tcW w:w="1266" w:type="dxa"/>
            <w:noWrap/>
            <w:vAlign w:val="center"/>
            <w:hideMark/>
          </w:tcPr>
          <w:p w14:paraId="037FAA92" w14:textId="309857D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53BF44AE" w14:textId="5F6FA0F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BBAB66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966" w:type="dxa"/>
            <w:noWrap/>
            <w:vAlign w:val="center"/>
            <w:hideMark/>
          </w:tcPr>
          <w:p w14:paraId="74F47C8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7,92%</w:t>
            </w:r>
          </w:p>
        </w:tc>
        <w:tc>
          <w:tcPr>
            <w:tcW w:w="612" w:type="dxa"/>
            <w:noWrap/>
            <w:vAlign w:val="center"/>
            <w:hideMark/>
          </w:tcPr>
          <w:p w14:paraId="625A7BFE" w14:textId="7BA748F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C910B21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59F7133C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6631 Tekuće donacije</w:t>
            </w:r>
          </w:p>
        </w:tc>
        <w:tc>
          <w:tcPr>
            <w:tcW w:w="1418" w:type="dxa"/>
            <w:noWrap/>
            <w:vAlign w:val="center"/>
            <w:hideMark/>
          </w:tcPr>
          <w:p w14:paraId="76A9D07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</w:tc>
        <w:tc>
          <w:tcPr>
            <w:tcW w:w="1266" w:type="dxa"/>
            <w:noWrap/>
            <w:vAlign w:val="center"/>
            <w:hideMark/>
          </w:tcPr>
          <w:p w14:paraId="6BAF661B" w14:textId="587FCC5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2ED03D5" w14:textId="39D036C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9B8DD1F" w14:textId="03D210B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noWrap/>
            <w:vAlign w:val="center"/>
            <w:hideMark/>
          </w:tcPr>
          <w:p w14:paraId="6407A07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612" w:type="dxa"/>
            <w:noWrap/>
            <w:vAlign w:val="center"/>
            <w:hideMark/>
          </w:tcPr>
          <w:p w14:paraId="13A3C389" w14:textId="5BA6559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B1A1F41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364B8D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6632 Kapitalne donacije</w:t>
            </w:r>
          </w:p>
        </w:tc>
        <w:tc>
          <w:tcPr>
            <w:tcW w:w="1418" w:type="dxa"/>
            <w:noWrap/>
            <w:vAlign w:val="center"/>
            <w:hideMark/>
          </w:tcPr>
          <w:p w14:paraId="3A1417B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9.500,00</w:t>
            </w:r>
          </w:p>
        </w:tc>
        <w:tc>
          <w:tcPr>
            <w:tcW w:w="1266" w:type="dxa"/>
            <w:noWrap/>
            <w:vAlign w:val="center"/>
            <w:hideMark/>
          </w:tcPr>
          <w:p w14:paraId="2FDF0B92" w14:textId="2CD8EF1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1ACBA114" w14:textId="1959035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0EF493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966" w:type="dxa"/>
            <w:noWrap/>
            <w:vAlign w:val="center"/>
            <w:hideMark/>
          </w:tcPr>
          <w:p w14:paraId="46D8B1B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8,42%</w:t>
            </w:r>
          </w:p>
        </w:tc>
        <w:tc>
          <w:tcPr>
            <w:tcW w:w="612" w:type="dxa"/>
            <w:noWrap/>
            <w:vAlign w:val="center"/>
            <w:hideMark/>
          </w:tcPr>
          <w:p w14:paraId="0226F1E2" w14:textId="172D53A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5DF631B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42DC447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418" w:type="dxa"/>
            <w:noWrap/>
            <w:vAlign w:val="center"/>
            <w:hideMark/>
          </w:tcPr>
          <w:p w14:paraId="0ACFA31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1.078.078,35</w:t>
            </w:r>
          </w:p>
        </w:tc>
        <w:tc>
          <w:tcPr>
            <w:tcW w:w="1266" w:type="dxa"/>
            <w:noWrap/>
            <w:vAlign w:val="center"/>
            <w:hideMark/>
          </w:tcPr>
          <w:p w14:paraId="5AB0BE9C" w14:textId="06E142F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98D6048" w14:textId="0AD215C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FB37C6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1.138.233,10</w:t>
            </w:r>
          </w:p>
        </w:tc>
        <w:tc>
          <w:tcPr>
            <w:tcW w:w="966" w:type="dxa"/>
            <w:noWrap/>
            <w:vAlign w:val="center"/>
            <w:hideMark/>
          </w:tcPr>
          <w:p w14:paraId="33B94C5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105,58%</w:t>
            </w:r>
          </w:p>
        </w:tc>
        <w:tc>
          <w:tcPr>
            <w:tcW w:w="612" w:type="dxa"/>
            <w:noWrap/>
            <w:vAlign w:val="center"/>
            <w:hideMark/>
          </w:tcPr>
          <w:p w14:paraId="66B3AC21" w14:textId="40EED51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04F0788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5E9B29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671 Prihodi iz nadležnog proračuna za financiranje redovne djelatnosti proračunskih korisnika</w:t>
            </w:r>
          </w:p>
        </w:tc>
        <w:tc>
          <w:tcPr>
            <w:tcW w:w="1418" w:type="dxa"/>
            <w:noWrap/>
            <w:vAlign w:val="center"/>
            <w:hideMark/>
          </w:tcPr>
          <w:p w14:paraId="6176068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1.078.078,35</w:t>
            </w:r>
          </w:p>
        </w:tc>
        <w:tc>
          <w:tcPr>
            <w:tcW w:w="1266" w:type="dxa"/>
            <w:noWrap/>
            <w:vAlign w:val="center"/>
            <w:hideMark/>
          </w:tcPr>
          <w:p w14:paraId="07E54C8D" w14:textId="389B5C2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02B67918" w14:textId="3B2AEF4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50463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1.138.233,10</w:t>
            </w:r>
          </w:p>
        </w:tc>
        <w:tc>
          <w:tcPr>
            <w:tcW w:w="966" w:type="dxa"/>
            <w:noWrap/>
            <w:vAlign w:val="center"/>
            <w:hideMark/>
          </w:tcPr>
          <w:p w14:paraId="7BA2842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105,58%</w:t>
            </w:r>
          </w:p>
        </w:tc>
        <w:tc>
          <w:tcPr>
            <w:tcW w:w="612" w:type="dxa"/>
            <w:noWrap/>
            <w:vAlign w:val="center"/>
            <w:hideMark/>
          </w:tcPr>
          <w:p w14:paraId="24B574D0" w14:textId="25714EF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118CD5E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52E0E08B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6711 Prihodi iz nadležnog proračuna za financiranje rashoda poslovanja</w:t>
            </w:r>
          </w:p>
        </w:tc>
        <w:tc>
          <w:tcPr>
            <w:tcW w:w="1418" w:type="dxa"/>
            <w:noWrap/>
            <w:vAlign w:val="center"/>
            <w:hideMark/>
          </w:tcPr>
          <w:p w14:paraId="1813232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971.433,33</w:t>
            </w:r>
          </w:p>
        </w:tc>
        <w:tc>
          <w:tcPr>
            <w:tcW w:w="1266" w:type="dxa"/>
            <w:noWrap/>
            <w:vAlign w:val="center"/>
            <w:hideMark/>
          </w:tcPr>
          <w:p w14:paraId="3138E6F6" w14:textId="7929551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6F014A00" w14:textId="41B27AA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80CBA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1.082.076,37</w:t>
            </w:r>
          </w:p>
        </w:tc>
        <w:tc>
          <w:tcPr>
            <w:tcW w:w="966" w:type="dxa"/>
            <w:noWrap/>
            <w:vAlign w:val="center"/>
            <w:hideMark/>
          </w:tcPr>
          <w:p w14:paraId="2B117DA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111,39%</w:t>
            </w:r>
          </w:p>
        </w:tc>
        <w:tc>
          <w:tcPr>
            <w:tcW w:w="612" w:type="dxa"/>
            <w:noWrap/>
            <w:vAlign w:val="center"/>
            <w:hideMark/>
          </w:tcPr>
          <w:p w14:paraId="590DCA5A" w14:textId="06EE0B8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8C71C7E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F8B4D7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6712 Prihodi iz nadležnog proračuna za financiranje rashoda za nabavu nefinancijske imovine</w:t>
            </w:r>
          </w:p>
        </w:tc>
        <w:tc>
          <w:tcPr>
            <w:tcW w:w="1418" w:type="dxa"/>
            <w:noWrap/>
            <w:vAlign w:val="center"/>
            <w:hideMark/>
          </w:tcPr>
          <w:p w14:paraId="0E28930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78.000,00</w:t>
            </w:r>
          </w:p>
        </w:tc>
        <w:tc>
          <w:tcPr>
            <w:tcW w:w="1266" w:type="dxa"/>
            <w:noWrap/>
            <w:vAlign w:val="center"/>
            <w:hideMark/>
          </w:tcPr>
          <w:p w14:paraId="459E0225" w14:textId="7718E32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59C53246" w14:textId="10D085F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268E1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11.114,63</w:t>
            </w:r>
          </w:p>
        </w:tc>
        <w:tc>
          <w:tcPr>
            <w:tcW w:w="966" w:type="dxa"/>
            <w:noWrap/>
            <w:vAlign w:val="center"/>
            <w:hideMark/>
          </w:tcPr>
          <w:p w14:paraId="4B258FA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14,25%</w:t>
            </w:r>
          </w:p>
        </w:tc>
        <w:tc>
          <w:tcPr>
            <w:tcW w:w="612" w:type="dxa"/>
            <w:noWrap/>
            <w:vAlign w:val="center"/>
            <w:hideMark/>
          </w:tcPr>
          <w:p w14:paraId="7B03B86D" w14:textId="753D18A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5652F0E" w14:textId="77777777" w:rsidTr="002F3AF5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99CE10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6714 Prihodi iz nadležnog proračuna za financiranje izdataka za financijsku imovinu i otplatu zajmova</w:t>
            </w:r>
          </w:p>
        </w:tc>
        <w:tc>
          <w:tcPr>
            <w:tcW w:w="1418" w:type="dxa"/>
            <w:noWrap/>
            <w:vAlign w:val="center"/>
            <w:hideMark/>
          </w:tcPr>
          <w:p w14:paraId="42714F1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28.645,02</w:t>
            </w:r>
          </w:p>
        </w:tc>
        <w:tc>
          <w:tcPr>
            <w:tcW w:w="1266" w:type="dxa"/>
            <w:noWrap/>
            <w:vAlign w:val="center"/>
            <w:hideMark/>
          </w:tcPr>
          <w:p w14:paraId="0FF3E9C5" w14:textId="2AAF892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1B5BD7D3" w14:textId="2B2C864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73886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45.042,10</w:t>
            </w:r>
          </w:p>
        </w:tc>
        <w:tc>
          <w:tcPr>
            <w:tcW w:w="966" w:type="dxa"/>
            <w:noWrap/>
            <w:vAlign w:val="center"/>
            <w:hideMark/>
          </w:tcPr>
          <w:p w14:paraId="4444AD9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157,24%</w:t>
            </w:r>
          </w:p>
        </w:tc>
        <w:tc>
          <w:tcPr>
            <w:tcW w:w="612" w:type="dxa"/>
            <w:noWrap/>
            <w:vAlign w:val="center"/>
            <w:hideMark/>
          </w:tcPr>
          <w:p w14:paraId="19C428FD" w14:textId="43E88E7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DBBA04C" w14:textId="77777777" w:rsidR="00FF2F4A" w:rsidRDefault="00FF2F4A"/>
    <w:tbl>
      <w:tblPr>
        <w:tblStyle w:val="Reetkatablice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276"/>
        <w:gridCol w:w="1134"/>
        <w:gridCol w:w="1417"/>
        <w:gridCol w:w="992"/>
        <w:gridCol w:w="709"/>
      </w:tblGrid>
      <w:tr w:rsidR="00FF2F4A" w:rsidRPr="004D506C" w14:paraId="272F7728" w14:textId="77777777" w:rsidTr="00FF2F4A">
        <w:tc>
          <w:tcPr>
            <w:tcW w:w="11341" w:type="dxa"/>
            <w:gridSpan w:val="7"/>
            <w:vAlign w:val="center"/>
          </w:tcPr>
          <w:p w14:paraId="41850577" w14:textId="77777777" w:rsidR="00FF2F4A" w:rsidRPr="004D506C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4D506C">
              <w:rPr>
                <w:rFonts w:ascii="Times New Roman" w:hAnsi="Times New Roman" w:cs="Times New Roman"/>
                <w:b/>
              </w:rPr>
              <w:lastRenderedPageBreak/>
              <w:t>VIŠAK PRIHODA KORIŠTEN ZA POKRIĆE RASHODA</w:t>
            </w:r>
          </w:p>
        </w:tc>
      </w:tr>
      <w:tr w:rsidR="00FF2F4A" w14:paraId="460154AC" w14:textId="77777777" w:rsidTr="00A95E07">
        <w:tc>
          <w:tcPr>
            <w:tcW w:w="4395" w:type="dxa"/>
          </w:tcPr>
          <w:p w14:paraId="50602C04" w14:textId="216105DB" w:rsidR="00FF2F4A" w:rsidRDefault="00FF2F4A" w:rsidP="00FF2F4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        Rezultat poslovanja</w:t>
            </w:r>
          </w:p>
        </w:tc>
        <w:tc>
          <w:tcPr>
            <w:tcW w:w="1418" w:type="dxa"/>
          </w:tcPr>
          <w:p w14:paraId="148583D3" w14:textId="153DBCA8" w:rsidR="00FF2F4A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276" w:type="dxa"/>
          </w:tcPr>
          <w:p w14:paraId="611EFE7B" w14:textId="3E39820D" w:rsidR="00FF2F4A" w:rsidRPr="009D4E96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134" w:type="dxa"/>
          </w:tcPr>
          <w:p w14:paraId="7D15A3CD" w14:textId="0EAFB92D" w:rsidR="00FF2F4A" w:rsidRDefault="00A95E07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417" w:type="dxa"/>
          </w:tcPr>
          <w:p w14:paraId="4239D7A0" w14:textId="4DBA8779" w:rsidR="00FF2F4A" w:rsidRDefault="00A95E07" w:rsidP="00A95E0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-77.577,08</w:t>
            </w:r>
          </w:p>
        </w:tc>
        <w:tc>
          <w:tcPr>
            <w:tcW w:w="992" w:type="dxa"/>
          </w:tcPr>
          <w:p w14:paraId="4011DB2F" w14:textId="7AFA4ED0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126D8C" w14:textId="77777777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F4A" w14:paraId="451F664B" w14:textId="77777777" w:rsidTr="00A95E07">
        <w:tc>
          <w:tcPr>
            <w:tcW w:w="4395" w:type="dxa"/>
          </w:tcPr>
          <w:p w14:paraId="529FADEF" w14:textId="222A54D6" w:rsidR="00FF2F4A" w:rsidRDefault="00FF2F4A" w:rsidP="00FF2F4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      Višak/manjak prihoda</w:t>
            </w:r>
          </w:p>
        </w:tc>
        <w:tc>
          <w:tcPr>
            <w:tcW w:w="1418" w:type="dxa"/>
          </w:tcPr>
          <w:p w14:paraId="52E0945F" w14:textId="7C45E789" w:rsidR="00FF2F4A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12.074,79</w:t>
            </w:r>
          </w:p>
        </w:tc>
        <w:tc>
          <w:tcPr>
            <w:tcW w:w="1276" w:type="dxa"/>
          </w:tcPr>
          <w:p w14:paraId="0CA8E598" w14:textId="3F3EF5C7" w:rsidR="00FF2F4A" w:rsidRPr="009D4E96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134" w:type="dxa"/>
          </w:tcPr>
          <w:p w14:paraId="467CACF8" w14:textId="065FB404" w:rsidR="00FF2F4A" w:rsidRDefault="00A95E07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417" w:type="dxa"/>
          </w:tcPr>
          <w:p w14:paraId="38047B23" w14:textId="546CF020" w:rsidR="00FF2F4A" w:rsidRDefault="00A95E07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-77.577,08</w:t>
            </w:r>
          </w:p>
        </w:tc>
        <w:tc>
          <w:tcPr>
            <w:tcW w:w="992" w:type="dxa"/>
          </w:tcPr>
          <w:p w14:paraId="1EF4CDC6" w14:textId="6FAE77CC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86F986" w14:textId="77777777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F4A" w14:paraId="47C47235" w14:textId="77777777" w:rsidTr="00A95E07">
        <w:tc>
          <w:tcPr>
            <w:tcW w:w="4395" w:type="dxa"/>
          </w:tcPr>
          <w:p w14:paraId="115B2F42" w14:textId="4114B524" w:rsidR="00FF2F4A" w:rsidRDefault="00FF2F4A" w:rsidP="00FF2F4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9221    Višak prihoda</w:t>
            </w:r>
          </w:p>
        </w:tc>
        <w:tc>
          <w:tcPr>
            <w:tcW w:w="1418" w:type="dxa"/>
          </w:tcPr>
          <w:p w14:paraId="7230ACB3" w14:textId="20D06F4D" w:rsidR="00FF2F4A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12.074,79</w:t>
            </w:r>
          </w:p>
        </w:tc>
        <w:tc>
          <w:tcPr>
            <w:tcW w:w="1276" w:type="dxa"/>
          </w:tcPr>
          <w:p w14:paraId="505E31EF" w14:textId="6D67B0F3" w:rsidR="00FF2F4A" w:rsidRPr="009D4E96" w:rsidRDefault="00FF2F4A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134" w:type="dxa"/>
          </w:tcPr>
          <w:p w14:paraId="48AE6EAC" w14:textId="2089A791" w:rsidR="00FF2F4A" w:rsidRDefault="00A95E07" w:rsidP="00FF2F4A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12.064,79</w:t>
            </w:r>
          </w:p>
        </w:tc>
        <w:tc>
          <w:tcPr>
            <w:tcW w:w="1417" w:type="dxa"/>
          </w:tcPr>
          <w:p w14:paraId="66D895F2" w14:textId="33909BEC" w:rsidR="00FF2F4A" w:rsidRDefault="00A95E07" w:rsidP="00A95E0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-77.577,08</w:t>
            </w:r>
          </w:p>
        </w:tc>
        <w:tc>
          <w:tcPr>
            <w:tcW w:w="992" w:type="dxa"/>
          </w:tcPr>
          <w:p w14:paraId="1DFD6079" w14:textId="1336BF3A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6AC997" w14:textId="77777777" w:rsidR="00FF2F4A" w:rsidRDefault="00FF2F4A" w:rsidP="00FF2F4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017C79" w14:textId="77777777" w:rsidR="00FF2F4A" w:rsidRDefault="00FF2F4A"/>
    <w:p w14:paraId="2EA6CD5A" w14:textId="77777777" w:rsidR="00FB075C" w:rsidRDefault="00FB075C" w:rsidP="00A95E07">
      <w:pPr>
        <w:rPr>
          <w:sz w:val="28"/>
          <w:szCs w:val="28"/>
        </w:rPr>
      </w:pPr>
    </w:p>
    <w:p w14:paraId="5020C831" w14:textId="46121B28" w:rsidR="00FB075C" w:rsidRDefault="00FB075C" w:rsidP="00FB075C">
      <w:pPr>
        <w:jc w:val="center"/>
        <w:rPr>
          <w:sz w:val="28"/>
          <w:szCs w:val="28"/>
        </w:rPr>
      </w:pPr>
      <w:r>
        <w:rPr>
          <w:sz w:val="28"/>
          <w:szCs w:val="28"/>
        </w:rPr>
        <w:t>-5-</w:t>
      </w:r>
    </w:p>
    <w:p w14:paraId="4A95FA78" w14:textId="2B7E7DA4" w:rsidR="00FB075C" w:rsidRDefault="00A95E07" w:rsidP="00A95E07">
      <w:pPr>
        <w:rPr>
          <w:sz w:val="28"/>
          <w:szCs w:val="28"/>
        </w:rPr>
      </w:pPr>
      <w:r w:rsidRPr="00A95E07">
        <w:rPr>
          <w:sz w:val="28"/>
          <w:szCs w:val="28"/>
        </w:rPr>
        <w:t xml:space="preserve">Pregled planiranih i ostvarenih prihoda/primitaka za razdoblje od 01.0131.12.2025. godine  pokazuje da su planirani prihodi ostvareni  85,43%.  </w:t>
      </w:r>
    </w:p>
    <w:p w14:paraId="36A621CD" w14:textId="76B6B657" w:rsidR="00A95E07" w:rsidRPr="00A95E07" w:rsidRDefault="00A95E07" w:rsidP="00A95E07">
      <w:pPr>
        <w:rPr>
          <w:sz w:val="24"/>
          <w:szCs w:val="24"/>
        </w:rPr>
      </w:pPr>
      <w:r w:rsidRPr="00A95E07">
        <w:rPr>
          <w:sz w:val="28"/>
          <w:szCs w:val="28"/>
        </w:rPr>
        <w:t xml:space="preserve">Odstupanje od  14,57%  najviše se odnosi na manje isplaćene rashode za </w:t>
      </w:r>
      <w:r w:rsidRPr="002F3AF5">
        <w:rPr>
          <w:sz w:val="28"/>
          <w:szCs w:val="28"/>
        </w:rPr>
        <w:t xml:space="preserve">zaposlene od planiranih, jer za djelatnike koji se bili duže vrijeme na bolovanju, nisu zapošljavane zamjene, </w:t>
      </w:r>
      <w:r w:rsidR="00E92142" w:rsidRPr="002F3AF5">
        <w:rPr>
          <w:sz w:val="28"/>
          <w:szCs w:val="28"/>
        </w:rPr>
        <w:t xml:space="preserve">a </w:t>
      </w:r>
      <w:r w:rsidRPr="002F3AF5">
        <w:rPr>
          <w:sz w:val="28"/>
          <w:szCs w:val="28"/>
        </w:rPr>
        <w:t xml:space="preserve"> naknada</w:t>
      </w:r>
      <w:r w:rsidR="00E92142" w:rsidRPr="002F3AF5">
        <w:rPr>
          <w:sz w:val="28"/>
          <w:szCs w:val="28"/>
        </w:rPr>
        <w:t xml:space="preserve"> se </w:t>
      </w:r>
      <w:r w:rsidRPr="002F3AF5">
        <w:rPr>
          <w:sz w:val="28"/>
          <w:szCs w:val="28"/>
        </w:rPr>
        <w:t xml:space="preserve"> isplać</w:t>
      </w:r>
      <w:r w:rsidR="00E92142" w:rsidRPr="002F3AF5">
        <w:rPr>
          <w:sz w:val="28"/>
          <w:szCs w:val="28"/>
        </w:rPr>
        <w:t>uje</w:t>
      </w:r>
      <w:r w:rsidRPr="002F3AF5">
        <w:rPr>
          <w:sz w:val="28"/>
          <w:szCs w:val="28"/>
        </w:rPr>
        <w:t xml:space="preserve"> na teret Zavoda za </w:t>
      </w:r>
      <w:r>
        <w:rPr>
          <w:sz w:val="28"/>
          <w:szCs w:val="28"/>
        </w:rPr>
        <w:t>zdravst</w:t>
      </w:r>
      <w:r w:rsidR="00485812">
        <w:rPr>
          <w:sz w:val="28"/>
          <w:szCs w:val="28"/>
        </w:rPr>
        <w:t>veno osi</w:t>
      </w:r>
      <w:r>
        <w:rPr>
          <w:sz w:val="28"/>
          <w:szCs w:val="28"/>
        </w:rPr>
        <w:t xml:space="preserve">guranje, </w:t>
      </w:r>
      <w:r w:rsidR="00485812">
        <w:rPr>
          <w:sz w:val="28"/>
          <w:szCs w:val="28"/>
        </w:rPr>
        <w:t xml:space="preserve"> isto taku rashodi za materijal, energiju i usluge bili su manji od planiranih.  Ostvareni manjak prihoda od 77.577,08</w:t>
      </w:r>
      <w:r w:rsidR="00E92142">
        <w:rPr>
          <w:sz w:val="28"/>
          <w:szCs w:val="28"/>
        </w:rPr>
        <w:t xml:space="preserve"> </w:t>
      </w:r>
      <w:r w:rsidR="00485812">
        <w:rPr>
          <w:sz w:val="28"/>
          <w:szCs w:val="28"/>
        </w:rPr>
        <w:t xml:space="preserve"> eura, odnosi se na plaću za prosinac i materijalne rashode nastale u prosincu, a plaćeni su i siječnju 2026. godine. Naime izmjenom Pravilnika o proračunskom računovodstvo </w:t>
      </w:r>
      <w:r w:rsidR="00351EFA">
        <w:rPr>
          <w:sz w:val="28"/>
          <w:szCs w:val="28"/>
        </w:rPr>
        <w:t>računskom planu, kojim se rashodi priznaju po datumu nastanka, pa ja plaća za prosinac trošak 2025. godine, isto tako i materijalni rashodi.</w:t>
      </w:r>
    </w:p>
    <w:tbl>
      <w:tblPr>
        <w:tblStyle w:val="Reetkatablice"/>
        <w:tblW w:w="11443" w:type="dxa"/>
        <w:tblInd w:w="-743" w:type="dxa"/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276"/>
        <w:gridCol w:w="1275"/>
        <w:gridCol w:w="993"/>
        <w:gridCol w:w="866"/>
        <w:gridCol w:w="228"/>
      </w:tblGrid>
      <w:tr w:rsidR="007F7132" w:rsidRPr="007F7132" w14:paraId="7D735B58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65CAE7F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34315A8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991.265,30</w:t>
            </w:r>
          </w:p>
        </w:tc>
        <w:tc>
          <w:tcPr>
            <w:tcW w:w="1276" w:type="dxa"/>
            <w:noWrap/>
            <w:vAlign w:val="center"/>
            <w:hideMark/>
          </w:tcPr>
          <w:p w14:paraId="6469B8B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1.075.454,35</w:t>
            </w:r>
          </w:p>
        </w:tc>
        <w:tc>
          <w:tcPr>
            <w:tcW w:w="1276" w:type="dxa"/>
            <w:noWrap/>
            <w:vAlign w:val="center"/>
            <w:hideMark/>
          </w:tcPr>
          <w:p w14:paraId="46DF301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1.278.444,21</w:t>
            </w:r>
          </w:p>
        </w:tc>
        <w:tc>
          <w:tcPr>
            <w:tcW w:w="1275" w:type="dxa"/>
            <w:noWrap/>
            <w:vAlign w:val="center"/>
            <w:hideMark/>
          </w:tcPr>
          <w:p w14:paraId="7B45FC9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1.174.769,56</w:t>
            </w:r>
          </w:p>
        </w:tc>
        <w:tc>
          <w:tcPr>
            <w:tcW w:w="993" w:type="dxa"/>
            <w:noWrap/>
            <w:vAlign w:val="center"/>
            <w:hideMark/>
          </w:tcPr>
          <w:p w14:paraId="46F7F2D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118,51%</w:t>
            </w:r>
          </w:p>
        </w:tc>
        <w:tc>
          <w:tcPr>
            <w:tcW w:w="850" w:type="dxa"/>
            <w:noWrap/>
            <w:vAlign w:val="center"/>
            <w:hideMark/>
          </w:tcPr>
          <w:p w14:paraId="312BEEC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91,89%</w:t>
            </w:r>
          </w:p>
        </w:tc>
      </w:tr>
      <w:tr w:rsidR="007F7132" w:rsidRPr="007F7132" w14:paraId="4D0E3652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4D843B2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 Rashodi za zaposlene</w:t>
            </w:r>
          </w:p>
        </w:tc>
        <w:tc>
          <w:tcPr>
            <w:tcW w:w="1276" w:type="dxa"/>
            <w:noWrap/>
            <w:vAlign w:val="center"/>
            <w:hideMark/>
          </w:tcPr>
          <w:p w14:paraId="64DD13B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841.566,35</w:t>
            </w:r>
          </w:p>
        </w:tc>
        <w:tc>
          <w:tcPr>
            <w:tcW w:w="1276" w:type="dxa"/>
            <w:noWrap/>
            <w:vAlign w:val="center"/>
            <w:hideMark/>
          </w:tcPr>
          <w:p w14:paraId="104A2C33" w14:textId="662798E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8E5668" w14:textId="182274B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79577E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1.064.382,11</w:t>
            </w:r>
          </w:p>
        </w:tc>
        <w:tc>
          <w:tcPr>
            <w:tcW w:w="993" w:type="dxa"/>
            <w:noWrap/>
            <w:vAlign w:val="center"/>
            <w:hideMark/>
          </w:tcPr>
          <w:p w14:paraId="1C257B2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126,48%</w:t>
            </w:r>
          </w:p>
        </w:tc>
        <w:tc>
          <w:tcPr>
            <w:tcW w:w="850" w:type="dxa"/>
            <w:noWrap/>
            <w:vAlign w:val="center"/>
            <w:hideMark/>
          </w:tcPr>
          <w:p w14:paraId="64F2AE1B" w14:textId="4BAF7C7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323C7D9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3546D2F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311 Plaće (Bruto)</w:t>
            </w:r>
          </w:p>
        </w:tc>
        <w:tc>
          <w:tcPr>
            <w:tcW w:w="1276" w:type="dxa"/>
            <w:noWrap/>
            <w:vAlign w:val="center"/>
            <w:hideMark/>
          </w:tcPr>
          <w:p w14:paraId="7917114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658.343,64</w:t>
            </w:r>
          </w:p>
        </w:tc>
        <w:tc>
          <w:tcPr>
            <w:tcW w:w="1276" w:type="dxa"/>
            <w:noWrap/>
            <w:vAlign w:val="center"/>
            <w:hideMark/>
          </w:tcPr>
          <w:p w14:paraId="04FEFE08" w14:textId="7CE5832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642A95" w14:textId="0BE538C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EC2806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833.641,47</w:t>
            </w:r>
          </w:p>
        </w:tc>
        <w:tc>
          <w:tcPr>
            <w:tcW w:w="993" w:type="dxa"/>
            <w:noWrap/>
            <w:vAlign w:val="center"/>
            <w:hideMark/>
          </w:tcPr>
          <w:p w14:paraId="76C3D27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126,63%</w:t>
            </w:r>
          </w:p>
        </w:tc>
        <w:tc>
          <w:tcPr>
            <w:tcW w:w="850" w:type="dxa"/>
            <w:noWrap/>
            <w:vAlign w:val="center"/>
            <w:hideMark/>
          </w:tcPr>
          <w:p w14:paraId="516D24A6" w14:textId="2646FBB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73E754F3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6EB6BDF9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3111 Plaće za redovan rad</w:t>
            </w:r>
          </w:p>
        </w:tc>
        <w:tc>
          <w:tcPr>
            <w:tcW w:w="1276" w:type="dxa"/>
            <w:noWrap/>
            <w:vAlign w:val="center"/>
            <w:hideMark/>
          </w:tcPr>
          <w:p w14:paraId="73A2FA1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658.343,64</w:t>
            </w:r>
          </w:p>
        </w:tc>
        <w:tc>
          <w:tcPr>
            <w:tcW w:w="1276" w:type="dxa"/>
            <w:noWrap/>
            <w:vAlign w:val="center"/>
            <w:hideMark/>
          </w:tcPr>
          <w:p w14:paraId="4E61D95D" w14:textId="73BEDF9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DCB2DB" w14:textId="7C9556E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FC64EE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833.641,47</w:t>
            </w:r>
          </w:p>
        </w:tc>
        <w:tc>
          <w:tcPr>
            <w:tcW w:w="993" w:type="dxa"/>
            <w:noWrap/>
            <w:vAlign w:val="center"/>
            <w:hideMark/>
          </w:tcPr>
          <w:p w14:paraId="15CCE6F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126,63%</w:t>
            </w:r>
          </w:p>
        </w:tc>
        <w:tc>
          <w:tcPr>
            <w:tcW w:w="850" w:type="dxa"/>
            <w:noWrap/>
            <w:vAlign w:val="center"/>
            <w:hideMark/>
          </w:tcPr>
          <w:p w14:paraId="70C5EB78" w14:textId="0C34239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5E96793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0CB2DFF2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312 Ostali rashodi za zaposlene</w:t>
            </w:r>
          </w:p>
        </w:tc>
        <w:tc>
          <w:tcPr>
            <w:tcW w:w="1276" w:type="dxa"/>
            <w:noWrap/>
            <w:vAlign w:val="center"/>
            <w:hideMark/>
          </w:tcPr>
          <w:p w14:paraId="45460F8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23.844,09</w:t>
            </w:r>
          </w:p>
        </w:tc>
        <w:tc>
          <w:tcPr>
            <w:tcW w:w="1276" w:type="dxa"/>
            <w:noWrap/>
            <w:vAlign w:val="center"/>
            <w:hideMark/>
          </w:tcPr>
          <w:p w14:paraId="2BCE3B88" w14:textId="0834109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CE9E8F" w14:textId="506C887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EA598B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28.756,63</w:t>
            </w:r>
          </w:p>
        </w:tc>
        <w:tc>
          <w:tcPr>
            <w:tcW w:w="993" w:type="dxa"/>
            <w:noWrap/>
            <w:vAlign w:val="center"/>
            <w:hideMark/>
          </w:tcPr>
          <w:p w14:paraId="01E1346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120,60%</w:t>
            </w:r>
          </w:p>
        </w:tc>
        <w:tc>
          <w:tcPr>
            <w:tcW w:w="850" w:type="dxa"/>
            <w:noWrap/>
            <w:vAlign w:val="center"/>
            <w:hideMark/>
          </w:tcPr>
          <w:p w14:paraId="37A3E733" w14:textId="4746AFA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3C896AD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063726EE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3121 Ostali rashodi za zaposlene</w:t>
            </w:r>
          </w:p>
        </w:tc>
        <w:tc>
          <w:tcPr>
            <w:tcW w:w="1276" w:type="dxa"/>
            <w:noWrap/>
            <w:vAlign w:val="center"/>
            <w:hideMark/>
          </w:tcPr>
          <w:p w14:paraId="0CDD389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23.844,09</w:t>
            </w:r>
          </w:p>
        </w:tc>
        <w:tc>
          <w:tcPr>
            <w:tcW w:w="1276" w:type="dxa"/>
            <w:noWrap/>
            <w:vAlign w:val="center"/>
            <w:hideMark/>
          </w:tcPr>
          <w:p w14:paraId="1DD13201" w14:textId="6EBCAF8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7823D4" w14:textId="57A7780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503898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28.756,63</w:t>
            </w:r>
          </w:p>
        </w:tc>
        <w:tc>
          <w:tcPr>
            <w:tcW w:w="993" w:type="dxa"/>
            <w:noWrap/>
            <w:vAlign w:val="center"/>
            <w:hideMark/>
          </w:tcPr>
          <w:p w14:paraId="73C0EB1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120,60%</w:t>
            </w:r>
          </w:p>
        </w:tc>
        <w:tc>
          <w:tcPr>
            <w:tcW w:w="850" w:type="dxa"/>
            <w:noWrap/>
            <w:vAlign w:val="center"/>
            <w:hideMark/>
          </w:tcPr>
          <w:p w14:paraId="4B06ED40" w14:textId="7DCD51F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BA2D2ED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2149504E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313 Doprinosi na plaće</w:t>
            </w:r>
          </w:p>
        </w:tc>
        <w:tc>
          <w:tcPr>
            <w:tcW w:w="1276" w:type="dxa"/>
            <w:noWrap/>
            <w:vAlign w:val="center"/>
            <w:hideMark/>
          </w:tcPr>
          <w:p w14:paraId="149A719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159.378,62</w:t>
            </w:r>
          </w:p>
        </w:tc>
        <w:tc>
          <w:tcPr>
            <w:tcW w:w="1276" w:type="dxa"/>
            <w:noWrap/>
            <w:vAlign w:val="center"/>
            <w:hideMark/>
          </w:tcPr>
          <w:p w14:paraId="0403881E" w14:textId="4EB4B39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89A278" w14:textId="055A2B7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92A989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201.984,01</w:t>
            </w:r>
          </w:p>
        </w:tc>
        <w:tc>
          <w:tcPr>
            <w:tcW w:w="993" w:type="dxa"/>
            <w:noWrap/>
            <w:vAlign w:val="center"/>
            <w:hideMark/>
          </w:tcPr>
          <w:p w14:paraId="322C4E7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126,73%</w:t>
            </w:r>
          </w:p>
        </w:tc>
        <w:tc>
          <w:tcPr>
            <w:tcW w:w="850" w:type="dxa"/>
            <w:noWrap/>
            <w:vAlign w:val="center"/>
            <w:hideMark/>
          </w:tcPr>
          <w:p w14:paraId="68CA155F" w14:textId="48CD4DD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3E859A0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208299C7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3131 Doprinosi za mirovinsko osiguranje za staž s povećanim trajanjem</w:t>
            </w:r>
          </w:p>
        </w:tc>
        <w:tc>
          <w:tcPr>
            <w:tcW w:w="1276" w:type="dxa"/>
            <w:noWrap/>
            <w:vAlign w:val="center"/>
            <w:hideMark/>
          </w:tcPr>
          <w:p w14:paraId="4D522C4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50.752,03</w:t>
            </w:r>
          </w:p>
        </w:tc>
        <w:tc>
          <w:tcPr>
            <w:tcW w:w="1276" w:type="dxa"/>
            <w:noWrap/>
            <w:vAlign w:val="center"/>
            <w:hideMark/>
          </w:tcPr>
          <w:p w14:paraId="647A6AF9" w14:textId="6F41D03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66CCF7" w14:textId="4ADCB37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DD1F8E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64.433,19</w:t>
            </w:r>
          </w:p>
        </w:tc>
        <w:tc>
          <w:tcPr>
            <w:tcW w:w="993" w:type="dxa"/>
            <w:noWrap/>
            <w:vAlign w:val="center"/>
            <w:hideMark/>
          </w:tcPr>
          <w:p w14:paraId="0B4648E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126,96%</w:t>
            </w:r>
          </w:p>
        </w:tc>
        <w:tc>
          <w:tcPr>
            <w:tcW w:w="850" w:type="dxa"/>
            <w:noWrap/>
            <w:vAlign w:val="center"/>
            <w:hideMark/>
          </w:tcPr>
          <w:p w14:paraId="2266917E" w14:textId="072FE91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47A7F99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13C33A93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276" w:type="dxa"/>
            <w:noWrap/>
            <w:vAlign w:val="center"/>
            <w:hideMark/>
          </w:tcPr>
          <w:p w14:paraId="43AADF0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108.626,59</w:t>
            </w:r>
          </w:p>
        </w:tc>
        <w:tc>
          <w:tcPr>
            <w:tcW w:w="1276" w:type="dxa"/>
            <w:noWrap/>
            <w:vAlign w:val="center"/>
            <w:hideMark/>
          </w:tcPr>
          <w:p w14:paraId="0D3A461E" w14:textId="0FDE3AD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A0A014" w14:textId="5B843D0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029D51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137.550,82</w:t>
            </w:r>
          </w:p>
        </w:tc>
        <w:tc>
          <w:tcPr>
            <w:tcW w:w="993" w:type="dxa"/>
            <w:noWrap/>
            <w:vAlign w:val="center"/>
            <w:hideMark/>
          </w:tcPr>
          <w:p w14:paraId="7FDFB0A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126,63%</w:t>
            </w:r>
          </w:p>
        </w:tc>
        <w:tc>
          <w:tcPr>
            <w:tcW w:w="850" w:type="dxa"/>
            <w:noWrap/>
            <w:vAlign w:val="center"/>
            <w:hideMark/>
          </w:tcPr>
          <w:p w14:paraId="438A1CAA" w14:textId="540D720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DEF1BA6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0A7DE242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 Materijalni rashodi</w:t>
            </w:r>
          </w:p>
        </w:tc>
        <w:tc>
          <w:tcPr>
            <w:tcW w:w="1276" w:type="dxa"/>
            <w:noWrap/>
            <w:vAlign w:val="center"/>
            <w:hideMark/>
          </w:tcPr>
          <w:p w14:paraId="1A5DB10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140.011,26</w:t>
            </w:r>
          </w:p>
        </w:tc>
        <w:tc>
          <w:tcPr>
            <w:tcW w:w="1276" w:type="dxa"/>
            <w:noWrap/>
            <w:vAlign w:val="center"/>
            <w:hideMark/>
          </w:tcPr>
          <w:p w14:paraId="175C4197" w14:textId="7B26C14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4D099C" w14:textId="18D1014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B7671A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99.665,85</w:t>
            </w:r>
          </w:p>
        </w:tc>
        <w:tc>
          <w:tcPr>
            <w:tcW w:w="993" w:type="dxa"/>
            <w:noWrap/>
            <w:vAlign w:val="center"/>
            <w:hideMark/>
          </w:tcPr>
          <w:p w14:paraId="79F2CE2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71,18%</w:t>
            </w:r>
          </w:p>
        </w:tc>
        <w:tc>
          <w:tcPr>
            <w:tcW w:w="850" w:type="dxa"/>
            <w:noWrap/>
            <w:vAlign w:val="center"/>
            <w:hideMark/>
          </w:tcPr>
          <w:p w14:paraId="72DCDBF4" w14:textId="22DCD84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34346338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79047A7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321 Naknade troškova zaposlenima</w:t>
            </w:r>
          </w:p>
        </w:tc>
        <w:tc>
          <w:tcPr>
            <w:tcW w:w="1276" w:type="dxa"/>
            <w:noWrap/>
            <w:vAlign w:val="center"/>
            <w:hideMark/>
          </w:tcPr>
          <w:p w14:paraId="3BDABB7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6.962,93</w:t>
            </w:r>
          </w:p>
        </w:tc>
        <w:tc>
          <w:tcPr>
            <w:tcW w:w="1276" w:type="dxa"/>
            <w:noWrap/>
            <w:vAlign w:val="center"/>
            <w:hideMark/>
          </w:tcPr>
          <w:p w14:paraId="51567981" w14:textId="2529F34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802952" w14:textId="5565D9E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8BE185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1.837,66</w:t>
            </w:r>
          </w:p>
        </w:tc>
        <w:tc>
          <w:tcPr>
            <w:tcW w:w="993" w:type="dxa"/>
            <w:noWrap/>
            <w:vAlign w:val="center"/>
            <w:hideMark/>
          </w:tcPr>
          <w:p w14:paraId="6FB97F1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26,39%</w:t>
            </w:r>
          </w:p>
        </w:tc>
        <w:tc>
          <w:tcPr>
            <w:tcW w:w="850" w:type="dxa"/>
            <w:noWrap/>
            <w:vAlign w:val="center"/>
            <w:hideMark/>
          </w:tcPr>
          <w:p w14:paraId="3A4CED32" w14:textId="0D62E6A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7F28340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58CF1CD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3211 Službena putovanja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1C91E7C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1.930,00</w:t>
            </w:r>
          </w:p>
        </w:tc>
        <w:tc>
          <w:tcPr>
            <w:tcW w:w="1276" w:type="dxa"/>
            <w:noWrap/>
            <w:vAlign w:val="center"/>
            <w:hideMark/>
          </w:tcPr>
          <w:p w14:paraId="24759350" w14:textId="3F6481B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A12B9E" w14:textId="0DD09EA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B13382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90,00</w:t>
            </w:r>
          </w:p>
        </w:tc>
        <w:tc>
          <w:tcPr>
            <w:tcW w:w="993" w:type="dxa"/>
            <w:noWrap/>
            <w:vAlign w:val="center"/>
            <w:hideMark/>
          </w:tcPr>
          <w:p w14:paraId="6B5DC4E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4,66%</w:t>
            </w:r>
          </w:p>
        </w:tc>
        <w:tc>
          <w:tcPr>
            <w:tcW w:w="850" w:type="dxa"/>
            <w:noWrap/>
            <w:vAlign w:val="center"/>
            <w:hideMark/>
          </w:tcPr>
          <w:p w14:paraId="075877A4" w14:textId="2638597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9F6BBFE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5DA222B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276" w:type="dxa"/>
            <w:noWrap/>
            <w:vAlign w:val="center"/>
            <w:hideMark/>
          </w:tcPr>
          <w:p w14:paraId="30199E1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2.972,93</w:t>
            </w:r>
          </w:p>
        </w:tc>
        <w:tc>
          <w:tcPr>
            <w:tcW w:w="1276" w:type="dxa"/>
            <w:noWrap/>
            <w:vAlign w:val="center"/>
            <w:hideMark/>
          </w:tcPr>
          <w:p w14:paraId="61D3B91E" w14:textId="1762178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719409" w14:textId="292C45E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A48D27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1.175,59</w:t>
            </w:r>
          </w:p>
        </w:tc>
        <w:tc>
          <w:tcPr>
            <w:tcW w:w="993" w:type="dxa"/>
            <w:noWrap/>
            <w:vAlign w:val="center"/>
            <w:hideMark/>
          </w:tcPr>
          <w:p w14:paraId="46BF1E1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39,54%</w:t>
            </w:r>
          </w:p>
        </w:tc>
        <w:tc>
          <w:tcPr>
            <w:tcW w:w="850" w:type="dxa"/>
            <w:noWrap/>
            <w:vAlign w:val="center"/>
            <w:hideMark/>
          </w:tcPr>
          <w:p w14:paraId="2CF1F953" w14:textId="5ACDAD5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9B61E08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6996ED1E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3213 Stručno usavršavanje zaposlenika</w:t>
            </w:r>
          </w:p>
        </w:tc>
        <w:tc>
          <w:tcPr>
            <w:tcW w:w="1276" w:type="dxa"/>
            <w:noWrap/>
            <w:vAlign w:val="center"/>
            <w:hideMark/>
          </w:tcPr>
          <w:p w14:paraId="5E137CA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2.060,00</w:t>
            </w:r>
          </w:p>
        </w:tc>
        <w:tc>
          <w:tcPr>
            <w:tcW w:w="1276" w:type="dxa"/>
            <w:noWrap/>
            <w:vAlign w:val="center"/>
            <w:hideMark/>
          </w:tcPr>
          <w:p w14:paraId="2CA2DE74" w14:textId="2282251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F3CC74D" w14:textId="75D6382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9B6D9E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572,07</w:t>
            </w:r>
          </w:p>
        </w:tc>
        <w:tc>
          <w:tcPr>
            <w:tcW w:w="993" w:type="dxa"/>
            <w:noWrap/>
            <w:vAlign w:val="center"/>
            <w:hideMark/>
          </w:tcPr>
          <w:p w14:paraId="56D2090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27,77%</w:t>
            </w:r>
          </w:p>
        </w:tc>
        <w:tc>
          <w:tcPr>
            <w:tcW w:w="850" w:type="dxa"/>
            <w:noWrap/>
            <w:vAlign w:val="center"/>
            <w:hideMark/>
          </w:tcPr>
          <w:p w14:paraId="52B0F50F" w14:textId="1F7F741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EEAEF0E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0AAB141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322 Rashodi za materijal i energiju</w:t>
            </w:r>
          </w:p>
        </w:tc>
        <w:tc>
          <w:tcPr>
            <w:tcW w:w="1276" w:type="dxa"/>
            <w:noWrap/>
            <w:vAlign w:val="center"/>
            <w:hideMark/>
          </w:tcPr>
          <w:p w14:paraId="602E818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58.142,90</w:t>
            </w:r>
          </w:p>
        </w:tc>
        <w:tc>
          <w:tcPr>
            <w:tcW w:w="1276" w:type="dxa"/>
            <w:noWrap/>
            <w:vAlign w:val="center"/>
            <w:hideMark/>
          </w:tcPr>
          <w:p w14:paraId="732B392E" w14:textId="3635049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C3D9B8F" w14:textId="2AFEC9C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285B4E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43.328,92</w:t>
            </w:r>
          </w:p>
        </w:tc>
        <w:tc>
          <w:tcPr>
            <w:tcW w:w="993" w:type="dxa"/>
            <w:noWrap/>
            <w:vAlign w:val="center"/>
            <w:hideMark/>
          </w:tcPr>
          <w:p w14:paraId="1E7A211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74,52%</w:t>
            </w:r>
          </w:p>
        </w:tc>
        <w:tc>
          <w:tcPr>
            <w:tcW w:w="850" w:type="dxa"/>
            <w:noWrap/>
            <w:vAlign w:val="center"/>
            <w:hideMark/>
          </w:tcPr>
          <w:p w14:paraId="4E535B85" w14:textId="7794700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104EE3E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45E1E1F3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276" w:type="dxa"/>
            <w:noWrap/>
            <w:vAlign w:val="center"/>
            <w:hideMark/>
          </w:tcPr>
          <w:p w14:paraId="05A5F67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14.749,21</w:t>
            </w:r>
          </w:p>
        </w:tc>
        <w:tc>
          <w:tcPr>
            <w:tcW w:w="1276" w:type="dxa"/>
            <w:noWrap/>
            <w:vAlign w:val="center"/>
            <w:hideMark/>
          </w:tcPr>
          <w:p w14:paraId="4AED7FEF" w14:textId="0B8FFA3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51D6F5" w14:textId="2D7DD8E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2B0346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2.056,84</w:t>
            </w:r>
          </w:p>
        </w:tc>
        <w:tc>
          <w:tcPr>
            <w:tcW w:w="993" w:type="dxa"/>
            <w:noWrap/>
            <w:vAlign w:val="center"/>
            <w:hideMark/>
          </w:tcPr>
          <w:p w14:paraId="5CD6D3C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13,95%</w:t>
            </w:r>
          </w:p>
        </w:tc>
        <w:tc>
          <w:tcPr>
            <w:tcW w:w="850" w:type="dxa"/>
            <w:noWrap/>
            <w:vAlign w:val="center"/>
            <w:hideMark/>
          </w:tcPr>
          <w:p w14:paraId="3887E910" w14:textId="149A1A0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8903F84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45349BC9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3223 Energija</w:t>
            </w:r>
          </w:p>
        </w:tc>
        <w:tc>
          <w:tcPr>
            <w:tcW w:w="1276" w:type="dxa"/>
            <w:noWrap/>
            <w:vAlign w:val="center"/>
            <w:hideMark/>
          </w:tcPr>
          <w:p w14:paraId="0E49510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21.645,57</w:t>
            </w:r>
          </w:p>
        </w:tc>
        <w:tc>
          <w:tcPr>
            <w:tcW w:w="1276" w:type="dxa"/>
            <w:noWrap/>
            <w:vAlign w:val="center"/>
            <w:hideMark/>
          </w:tcPr>
          <w:p w14:paraId="2DB544D1" w14:textId="4FF805F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E1DDB46" w14:textId="7909B6F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A71BBA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22.331,00</w:t>
            </w:r>
          </w:p>
        </w:tc>
        <w:tc>
          <w:tcPr>
            <w:tcW w:w="993" w:type="dxa"/>
            <w:noWrap/>
            <w:vAlign w:val="center"/>
            <w:hideMark/>
          </w:tcPr>
          <w:p w14:paraId="7838205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103,17%</w:t>
            </w:r>
          </w:p>
        </w:tc>
        <w:tc>
          <w:tcPr>
            <w:tcW w:w="850" w:type="dxa"/>
            <w:noWrap/>
            <w:vAlign w:val="center"/>
            <w:hideMark/>
          </w:tcPr>
          <w:p w14:paraId="1C3CEE57" w14:textId="76E4560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72202DE5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00E1A8D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3224 Materijal i dijelovi za tekuće i investicijsko održavanje</w:t>
            </w:r>
          </w:p>
        </w:tc>
        <w:tc>
          <w:tcPr>
            <w:tcW w:w="1276" w:type="dxa"/>
            <w:noWrap/>
            <w:vAlign w:val="center"/>
            <w:hideMark/>
          </w:tcPr>
          <w:p w14:paraId="6C16D33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6.583,80</w:t>
            </w:r>
          </w:p>
        </w:tc>
        <w:tc>
          <w:tcPr>
            <w:tcW w:w="1276" w:type="dxa"/>
            <w:noWrap/>
            <w:vAlign w:val="center"/>
            <w:hideMark/>
          </w:tcPr>
          <w:p w14:paraId="42B1A4AC" w14:textId="04BCDA3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0728A3" w14:textId="5C0CBB6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1AEBA0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3.564,76</w:t>
            </w:r>
          </w:p>
        </w:tc>
        <w:tc>
          <w:tcPr>
            <w:tcW w:w="993" w:type="dxa"/>
            <w:noWrap/>
            <w:vAlign w:val="center"/>
            <w:hideMark/>
          </w:tcPr>
          <w:p w14:paraId="7722621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54,14%</w:t>
            </w:r>
          </w:p>
        </w:tc>
        <w:tc>
          <w:tcPr>
            <w:tcW w:w="850" w:type="dxa"/>
            <w:noWrap/>
            <w:vAlign w:val="center"/>
            <w:hideMark/>
          </w:tcPr>
          <w:p w14:paraId="7D1A3996" w14:textId="30C5373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D65D43E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578D9483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3225 Sitni inventar i </w:t>
            </w:r>
            <w:proofErr w:type="spellStart"/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276" w:type="dxa"/>
            <w:noWrap/>
            <w:vAlign w:val="center"/>
            <w:hideMark/>
          </w:tcPr>
          <w:p w14:paraId="6D875C3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8.164,32</w:t>
            </w:r>
          </w:p>
        </w:tc>
        <w:tc>
          <w:tcPr>
            <w:tcW w:w="1276" w:type="dxa"/>
            <w:noWrap/>
            <w:vAlign w:val="center"/>
            <w:hideMark/>
          </w:tcPr>
          <w:p w14:paraId="7CE8FEF8" w14:textId="6F7E8AE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18A6669" w14:textId="64A39F0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587766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8.732,86</w:t>
            </w:r>
          </w:p>
        </w:tc>
        <w:tc>
          <w:tcPr>
            <w:tcW w:w="993" w:type="dxa"/>
            <w:noWrap/>
            <w:vAlign w:val="center"/>
            <w:hideMark/>
          </w:tcPr>
          <w:p w14:paraId="38D71AD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106,96%</w:t>
            </w:r>
          </w:p>
        </w:tc>
        <w:tc>
          <w:tcPr>
            <w:tcW w:w="850" w:type="dxa"/>
            <w:noWrap/>
            <w:vAlign w:val="center"/>
            <w:hideMark/>
          </w:tcPr>
          <w:p w14:paraId="2F2DDC36" w14:textId="18E314F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20059E0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168C131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276" w:type="dxa"/>
            <w:noWrap/>
            <w:vAlign w:val="center"/>
            <w:hideMark/>
          </w:tcPr>
          <w:p w14:paraId="16C4EE3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1BF26DF3" w14:textId="7417B02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70B3D5" w14:textId="4BCE546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4AFC0D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6.643,46</w:t>
            </w:r>
          </w:p>
        </w:tc>
        <w:tc>
          <w:tcPr>
            <w:tcW w:w="993" w:type="dxa"/>
            <w:noWrap/>
            <w:vAlign w:val="center"/>
            <w:hideMark/>
          </w:tcPr>
          <w:p w14:paraId="658565A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94,91%</w:t>
            </w:r>
          </w:p>
        </w:tc>
        <w:tc>
          <w:tcPr>
            <w:tcW w:w="850" w:type="dxa"/>
            <w:noWrap/>
            <w:vAlign w:val="center"/>
            <w:hideMark/>
          </w:tcPr>
          <w:p w14:paraId="499A5D76" w14:textId="5AA80A1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5F02142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2284B055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 Rashodi za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576D6B1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65.695,11</w:t>
            </w:r>
          </w:p>
        </w:tc>
        <w:tc>
          <w:tcPr>
            <w:tcW w:w="1276" w:type="dxa"/>
            <w:noWrap/>
            <w:vAlign w:val="center"/>
            <w:hideMark/>
          </w:tcPr>
          <w:p w14:paraId="1BB1623D" w14:textId="4589247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F1289AF" w14:textId="3949181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539026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45.808,16</w:t>
            </w:r>
          </w:p>
        </w:tc>
        <w:tc>
          <w:tcPr>
            <w:tcW w:w="993" w:type="dxa"/>
            <w:noWrap/>
            <w:vAlign w:val="center"/>
            <w:hideMark/>
          </w:tcPr>
          <w:p w14:paraId="771CE3D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69,73%</w:t>
            </w:r>
          </w:p>
        </w:tc>
        <w:tc>
          <w:tcPr>
            <w:tcW w:w="850" w:type="dxa"/>
            <w:noWrap/>
            <w:vAlign w:val="center"/>
            <w:hideMark/>
          </w:tcPr>
          <w:p w14:paraId="2A5D3CBE" w14:textId="7B98F83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5F0A1D9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7838D1D1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3231 Usluge telefona, </w:t>
            </w:r>
            <w:proofErr w:type="spellStart"/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interneta</w:t>
            </w:r>
            <w:proofErr w:type="spellEnd"/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, pošte i prijevoza</w:t>
            </w:r>
          </w:p>
        </w:tc>
        <w:tc>
          <w:tcPr>
            <w:tcW w:w="1276" w:type="dxa"/>
            <w:noWrap/>
            <w:vAlign w:val="center"/>
            <w:hideMark/>
          </w:tcPr>
          <w:p w14:paraId="36D62DE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10.230,95</w:t>
            </w:r>
          </w:p>
        </w:tc>
        <w:tc>
          <w:tcPr>
            <w:tcW w:w="1276" w:type="dxa"/>
            <w:noWrap/>
            <w:vAlign w:val="center"/>
            <w:hideMark/>
          </w:tcPr>
          <w:p w14:paraId="51AB847B" w14:textId="442EE86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0637CD" w14:textId="569779E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5979A8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11.031,42</w:t>
            </w:r>
          </w:p>
        </w:tc>
        <w:tc>
          <w:tcPr>
            <w:tcW w:w="993" w:type="dxa"/>
            <w:noWrap/>
            <w:vAlign w:val="center"/>
            <w:hideMark/>
          </w:tcPr>
          <w:p w14:paraId="340EF0F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107,82%</w:t>
            </w:r>
          </w:p>
        </w:tc>
        <w:tc>
          <w:tcPr>
            <w:tcW w:w="850" w:type="dxa"/>
            <w:noWrap/>
            <w:vAlign w:val="center"/>
            <w:hideMark/>
          </w:tcPr>
          <w:p w14:paraId="3C3F5D72" w14:textId="36763AB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EFE17D4" w14:textId="77777777" w:rsidTr="00903DD0">
        <w:trPr>
          <w:gridAfter w:val="1"/>
          <w:wAfter w:w="244" w:type="dxa"/>
          <w:trHeight w:val="300"/>
        </w:trPr>
        <w:tc>
          <w:tcPr>
            <w:tcW w:w="4253" w:type="dxa"/>
            <w:noWrap/>
            <w:vAlign w:val="center"/>
            <w:hideMark/>
          </w:tcPr>
          <w:p w14:paraId="5B7DEDF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3232 Usluge tekućeg i investicijskog  održavanja</w:t>
            </w:r>
          </w:p>
        </w:tc>
        <w:tc>
          <w:tcPr>
            <w:tcW w:w="1276" w:type="dxa"/>
            <w:noWrap/>
            <w:vAlign w:val="center"/>
            <w:hideMark/>
          </w:tcPr>
          <w:p w14:paraId="091E879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41.000,00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7344F03D" w14:textId="0C2CB11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6C1576F" w14:textId="2992AA3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244202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19.708,14</w:t>
            </w:r>
          </w:p>
        </w:tc>
        <w:tc>
          <w:tcPr>
            <w:tcW w:w="993" w:type="dxa"/>
            <w:noWrap/>
            <w:vAlign w:val="center"/>
            <w:hideMark/>
          </w:tcPr>
          <w:p w14:paraId="7A92686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48,07%</w:t>
            </w:r>
          </w:p>
        </w:tc>
        <w:tc>
          <w:tcPr>
            <w:tcW w:w="850" w:type="dxa"/>
            <w:noWrap/>
            <w:vAlign w:val="center"/>
            <w:hideMark/>
          </w:tcPr>
          <w:p w14:paraId="5DBC61BA" w14:textId="70B7E3F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8BC7A82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14E4F224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3234 Komunalne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2E2A058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362,44</w:t>
            </w:r>
          </w:p>
        </w:tc>
        <w:tc>
          <w:tcPr>
            <w:tcW w:w="1276" w:type="dxa"/>
            <w:noWrap/>
            <w:vAlign w:val="center"/>
            <w:hideMark/>
          </w:tcPr>
          <w:p w14:paraId="1D23CE16" w14:textId="7A98677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A5EFFF" w14:textId="43C6A45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5F4C07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627,35</w:t>
            </w:r>
          </w:p>
        </w:tc>
        <w:tc>
          <w:tcPr>
            <w:tcW w:w="993" w:type="dxa"/>
            <w:noWrap/>
            <w:vAlign w:val="center"/>
            <w:hideMark/>
          </w:tcPr>
          <w:p w14:paraId="29892D6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173,09%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0E9F1A31" w14:textId="59B2226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78B3F8F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41B4834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3236 Zdravstvene i veterinarske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451C06AA" w14:textId="369A679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F388E7C" w14:textId="5C85774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7BF0603" w14:textId="073DD40F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656683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91,00</w:t>
            </w:r>
          </w:p>
        </w:tc>
        <w:tc>
          <w:tcPr>
            <w:tcW w:w="993" w:type="dxa"/>
            <w:noWrap/>
            <w:vAlign w:val="center"/>
            <w:hideMark/>
          </w:tcPr>
          <w:p w14:paraId="0BE82E7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654B5F13" w14:textId="21DE739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12018D6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54121AC1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3237 Intelektualne i osobne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559934B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7.167,00</w:t>
            </w:r>
          </w:p>
        </w:tc>
        <w:tc>
          <w:tcPr>
            <w:tcW w:w="1276" w:type="dxa"/>
            <w:noWrap/>
            <w:vAlign w:val="center"/>
            <w:hideMark/>
          </w:tcPr>
          <w:p w14:paraId="7188C2DF" w14:textId="69FD013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6A8D628" w14:textId="2A23820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62C7AC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7.167,00</w:t>
            </w:r>
          </w:p>
        </w:tc>
        <w:tc>
          <w:tcPr>
            <w:tcW w:w="993" w:type="dxa"/>
            <w:noWrap/>
            <w:vAlign w:val="center"/>
            <w:hideMark/>
          </w:tcPr>
          <w:p w14:paraId="636FBBC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508388B3" w14:textId="6E05BEE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33CC767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765B37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3238 Računalne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03A2C16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15E1AEB0" w14:textId="2F4110F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F74080" w14:textId="6E35220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172289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5.549,29</w:t>
            </w:r>
          </w:p>
        </w:tc>
        <w:tc>
          <w:tcPr>
            <w:tcW w:w="993" w:type="dxa"/>
            <w:noWrap/>
            <w:vAlign w:val="center"/>
            <w:hideMark/>
          </w:tcPr>
          <w:p w14:paraId="738B3A1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110,99%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3F41328B" w14:textId="6D79633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BBA845A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0DBA8A25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3239 Ostale usluge</w:t>
            </w:r>
          </w:p>
        </w:tc>
        <w:tc>
          <w:tcPr>
            <w:tcW w:w="1276" w:type="dxa"/>
            <w:noWrap/>
            <w:vAlign w:val="center"/>
            <w:hideMark/>
          </w:tcPr>
          <w:p w14:paraId="48526B1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1.934,72</w:t>
            </w:r>
          </w:p>
        </w:tc>
        <w:tc>
          <w:tcPr>
            <w:tcW w:w="1276" w:type="dxa"/>
            <w:noWrap/>
            <w:vAlign w:val="center"/>
            <w:hideMark/>
          </w:tcPr>
          <w:p w14:paraId="1CE3D775" w14:textId="076682B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BCD6583" w14:textId="02B2689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1BC53C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1.633,96</w:t>
            </w:r>
          </w:p>
        </w:tc>
        <w:tc>
          <w:tcPr>
            <w:tcW w:w="993" w:type="dxa"/>
            <w:noWrap/>
            <w:vAlign w:val="center"/>
            <w:hideMark/>
          </w:tcPr>
          <w:p w14:paraId="70E665B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84,45%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51D9CDD7" w14:textId="64E0BB0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FCB586A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D7442F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329 Ostali nespomenuti rashodi poslovanja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6039E88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9.210,32</w:t>
            </w:r>
          </w:p>
        </w:tc>
        <w:tc>
          <w:tcPr>
            <w:tcW w:w="1276" w:type="dxa"/>
            <w:noWrap/>
            <w:vAlign w:val="center"/>
            <w:hideMark/>
          </w:tcPr>
          <w:p w14:paraId="2899707C" w14:textId="11638A8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7D13CC" w14:textId="32C71C5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66D4F4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8.691,11</w:t>
            </w:r>
          </w:p>
        </w:tc>
        <w:tc>
          <w:tcPr>
            <w:tcW w:w="993" w:type="dxa"/>
            <w:noWrap/>
            <w:vAlign w:val="center"/>
            <w:hideMark/>
          </w:tcPr>
          <w:p w14:paraId="3A872C49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94,36%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6EBAD006" w14:textId="1C72F6D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8DD85D9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070B9315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3292 Premije osiguranja</w:t>
            </w:r>
          </w:p>
        </w:tc>
        <w:tc>
          <w:tcPr>
            <w:tcW w:w="1276" w:type="dxa"/>
            <w:noWrap/>
            <w:vAlign w:val="center"/>
            <w:hideMark/>
          </w:tcPr>
          <w:p w14:paraId="6216456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7.721,95</w:t>
            </w:r>
          </w:p>
        </w:tc>
        <w:tc>
          <w:tcPr>
            <w:tcW w:w="1276" w:type="dxa"/>
            <w:noWrap/>
            <w:vAlign w:val="center"/>
            <w:hideMark/>
          </w:tcPr>
          <w:p w14:paraId="0B72344D" w14:textId="1B9618C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4D2F50" w14:textId="684183D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71CD287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8.103,78</w:t>
            </w:r>
          </w:p>
        </w:tc>
        <w:tc>
          <w:tcPr>
            <w:tcW w:w="993" w:type="dxa"/>
            <w:noWrap/>
            <w:vAlign w:val="center"/>
            <w:hideMark/>
          </w:tcPr>
          <w:p w14:paraId="17C53CF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104,94%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04BFB05D" w14:textId="0174A26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7B0E2B73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564BA2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3293 Reprezentacija</w:t>
            </w:r>
          </w:p>
        </w:tc>
        <w:tc>
          <w:tcPr>
            <w:tcW w:w="1276" w:type="dxa"/>
            <w:noWrap/>
            <w:vAlign w:val="center"/>
            <w:hideMark/>
          </w:tcPr>
          <w:p w14:paraId="3446990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1.300,00</w:t>
            </w:r>
          </w:p>
        </w:tc>
        <w:tc>
          <w:tcPr>
            <w:tcW w:w="1276" w:type="dxa"/>
            <w:noWrap/>
            <w:vAlign w:val="center"/>
            <w:hideMark/>
          </w:tcPr>
          <w:p w14:paraId="136A5FC4" w14:textId="346B275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E8A616" w14:textId="0DD03D5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238898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344,35</w:t>
            </w:r>
          </w:p>
        </w:tc>
        <w:tc>
          <w:tcPr>
            <w:tcW w:w="993" w:type="dxa"/>
            <w:noWrap/>
            <w:vAlign w:val="center"/>
            <w:hideMark/>
          </w:tcPr>
          <w:p w14:paraId="2E021E9F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26,49%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225D9447" w14:textId="7285F18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3748776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9A5DBC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3295 Pristojbe i naknade</w:t>
            </w:r>
          </w:p>
        </w:tc>
        <w:tc>
          <w:tcPr>
            <w:tcW w:w="1276" w:type="dxa"/>
            <w:noWrap/>
            <w:vAlign w:val="center"/>
            <w:hideMark/>
          </w:tcPr>
          <w:p w14:paraId="1AEE3F96" w14:textId="08CD460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0A177D" w14:textId="4604998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33E084" w14:textId="39832DE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038F41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52,98</w:t>
            </w:r>
          </w:p>
        </w:tc>
        <w:tc>
          <w:tcPr>
            <w:tcW w:w="993" w:type="dxa"/>
            <w:noWrap/>
            <w:vAlign w:val="center"/>
            <w:hideMark/>
          </w:tcPr>
          <w:p w14:paraId="33F8921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62092244" w14:textId="17907C4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3B4C249C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87D7DE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3299 Ostali nespomenuti rashodi poslovanja</w:t>
            </w:r>
          </w:p>
        </w:tc>
        <w:tc>
          <w:tcPr>
            <w:tcW w:w="1276" w:type="dxa"/>
            <w:noWrap/>
            <w:vAlign w:val="center"/>
            <w:hideMark/>
          </w:tcPr>
          <w:p w14:paraId="0153DE1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188,37</w:t>
            </w:r>
          </w:p>
        </w:tc>
        <w:tc>
          <w:tcPr>
            <w:tcW w:w="1276" w:type="dxa"/>
            <w:noWrap/>
            <w:vAlign w:val="center"/>
            <w:hideMark/>
          </w:tcPr>
          <w:p w14:paraId="097AC8E2" w14:textId="7884F0E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6793B01" w14:textId="1F1A9CA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3D95D7C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190,00</w:t>
            </w:r>
          </w:p>
        </w:tc>
        <w:tc>
          <w:tcPr>
            <w:tcW w:w="993" w:type="dxa"/>
            <w:noWrap/>
            <w:vAlign w:val="center"/>
            <w:hideMark/>
          </w:tcPr>
          <w:p w14:paraId="34E41E3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100,87%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2E66DD7F" w14:textId="1CFD5F5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3E74635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325357B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 Financijski rashodi</w:t>
            </w:r>
          </w:p>
        </w:tc>
        <w:tc>
          <w:tcPr>
            <w:tcW w:w="1276" w:type="dxa"/>
            <w:noWrap/>
            <w:vAlign w:val="center"/>
            <w:hideMark/>
          </w:tcPr>
          <w:p w14:paraId="7581B47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9.687,69</w:t>
            </w:r>
          </w:p>
        </w:tc>
        <w:tc>
          <w:tcPr>
            <w:tcW w:w="1276" w:type="dxa"/>
            <w:noWrap/>
            <w:vAlign w:val="center"/>
            <w:hideMark/>
          </w:tcPr>
          <w:p w14:paraId="0BF4C140" w14:textId="5AF9225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A67882" w14:textId="22A8264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869FF4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10.721,60</w:t>
            </w:r>
          </w:p>
        </w:tc>
        <w:tc>
          <w:tcPr>
            <w:tcW w:w="993" w:type="dxa"/>
            <w:noWrap/>
            <w:vAlign w:val="center"/>
            <w:hideMark/>
          </w:tcPr>
          <w:p w14:paraId="7572F76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110,67%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568ABFA7" w14:textId="3F3EECB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F203C8E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A7D1F3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342 Kamate za primljene kredite i zajmove</w:t>
            </w:r>
          </w:p>
        </w:tc>
        <w:tc>
          <w:tcPr>
            <w:tcW w:w="1276" w:type="dxa"/>
            <w:noWrap/>
            <w:vAlign w:val="center"/>
            <w:hideMark/>
          </w:tcPr>
          <w:p w14:paraId="2D246C0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9.054,32</w:t>
            </w:r>
          </w:p>
        </w:tc>
        <w:tc>
          <w:tcPr>
            <w:tcW w:w="1276" w:type="dxa"/>
            <w:noWrap/>
            <w:vAlign w:val="center"/>
            <w:hideMark/>
          </w:tcPr>
          <w:p w14:paraId="69506483" w14:textId="27D01E4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2CE2FC" w14:textId="76261FA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10CBEE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10.051,92</w:t>
            </w:r>
          </w:p>
        </w:tc>
        <w:tc>
          <w:tcPr>
            <w:tcW w:w="993" w:type="dxa"/>
            <w:noWrap/>
            <w:vAlign w:val="center"/>
            <w:hideMark/>
          </w:tcPr>
          <w:p w14:paraId="110395B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111,02%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5192FDD2" w14:textId="6C0AE73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2C2656E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2BFD033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3422 Kamate za primljene kredite i zajmove od kreditnih i ostalih financijskih institucija u javnom sekto</w:t>
            </w:r>
          </w:p>
        </w:tc>
        <w:tc>
          <w:tcPr>
            <w:tcW w:w="1276" w:type="dxa"/>
            <w:noWrap/>
            <w:vAlign w:val="center"/>
            <w:hideMark/>
          </w:tcPr>
          <w:p w14:paraId="73A332B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9.054,32</w:t>
            </w:r>
          </w:p>
        </w:tc>
        <w:tc>
          <w:tcPr>
            <w:tcW w:w="1276" w:type="dxa"/>
            <w:noWrap/>
            <w:vAlign w:val="center"/>
            <w:hideMark/>
          </w:tcPr>
          <w:p w14:paraId="56DD1F19" w14:textId="2F99E4D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BFED7B9" w14:textId="3DEC3650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AA6C5A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10.051,92</w:t>
            </w:r>
          </w:p>
        </w:tc>
        <w:tc>
          <w:tcPr>
            <w:tcW w:w="993" w:type="dxa"/>
            <w:noWrap/>
            <w:vAlign w:val="center"/>
            <w:hideMark/>
          </w:tcPr>
          <w:p w14:paraId="6AF94B7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111,02%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78D01BAB" w14:textId="7955FE0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28B6921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56BA25F8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343 Ostali financijski rashodi</w:t>
            </w:r>
          </w:p>
        </w:tc>
        <w:tc>
          <w:tcPr>
            <w:tcW w:w="1276" w:type="dxa"/>
            <w:noWrap/>
            <w:vAlign w:val="center"/>
            <w:hideMark/>
          </w:tcPr>
          <w:p w14:paraId="3E4F825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633,37</w:t>
            </w:r>
          </w:p>
        </w:tc>
        <w:tc>
          <w:tcPr>
            <w:tcW w:w="1276" w:type="dxa"/>
            <w:noWrap/>
            <w:vAlign w:val="center"/>
            <w:hideMark/>
          </w:tcPr>
          <w:p w14:paraId="0B484F5A" w14:textId="29EC75B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018D9F4" w14:textId="6F6D322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46E509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669,68</w:t>
            </w:r>
          </w:p>
        </w:tc>
        <w:tc>
          <w:tcPr>
            <w:tcW w:w="993" w:type="dxa"/>
            <w:noWrap/>
            <w:vAlign w:val="center"/>
            <w:hideMark/>
          </w:tcPr>
          <w:p w14:paraId="171585F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105,73%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2FC06264" w14:textId="7300325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2DF327D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94CBF73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276" w:type="dxa"/>
            <w:noWrap/>
            <w:vAlign w:val="center"/>
            <w:hideMark/>
          </w:tcPr>
          <w:p w14:paraId="50597BE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633,37</w:t>
            </w:r>
          </w:p>
        </w:tc>
        <w:tc>
          <w:tcPr>
            <w:tcW w:w="1276" w:type="dxa"/>
            <w:noWrap/>
            <w:vAlign w:val="center"/>
            <w:hideMark/>
          </w:tcPr>
          <w:p w14:paraId="13F3A863" w14:textId="4B2A6E0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8F926B" w14:textId="35CC6E5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FF0CC0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669,68</w:t>
            </w:r>
          </w:p>
        </w:tc>
        <w:tc>
          <w:tcPr>
            <w:tcW w:w="993" w:type="dxa"/>
            <w:noWrap/>
            <w:vAlign w:val="center"/>
            <w:hideMark/>
          </w:tcPr>
          <w:p w14:paraId="03D08C2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105,73%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729E6D97" w14:textId="6997B93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F205FDD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07A0D05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276" w:type="dxa"/>
            <w:noWrap/>
            <w:vAlign w:val="center"/>
            <w:hideMark/>
          </w:tcPr>
          <w:p w14:paraId="3F652E7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336.131,00</w:t>
            </w:r>
          </w:p>
        </w:tc>
        <w:tc>
          <w:tcPr>
            <w:tcW w:w="1276" w:type="dxa"/>
            <w:noWrap/>
            <w:vAlign w:val="center"/>
            <w:hideMark/>
          </w:tcPr>
          <w:p w14:paraId="27B3453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42.945,00</w:t>
            </w:r>
          </w:p>
        </w:tc>
        <w:tc>
          <w:tcPr>
            <w:tcW w:w="1276" w:type="dxa"/>
            <w:noWrap/>
            <w:vAlign w:val="center"/>
            <w:hideMark/>
          </w:tcPr>
          <w:p w14:paraId="2372661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42.940,00</w:t>
            </w:r>
          </w:p>
        </w:tc>
        <w:tc>
          <w:tcPr>
            <w:tcW w:w="1275" w:type="dxa"/>
            <w:noWrap/>
            <w:vAlign w:val="center"/>
            <w:hideMark/>
          </w:tcPr>
          <w:p w14:paraId="76C3021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15.635,00</w:t>
            </w:r>
          </w:p>
        </w:tc>
        <w:tc>
          <w:tcPr>
            <w:tcW w:w="993" w:type="dxa"/>
            <w:noWrap/>
            <w:vAlign w:val="center"/>
            <w:hideMark/>
          </w:tcPr>
          <w:p w14:paraId="323399E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4,65%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00A4D8DE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36,41%</w:t>
            </w:r>
          </w:p>
        </w:tc>
      </w:tr>
      <w:tr w:rsidR="007F7132" w:rsidRPr="007F7132" w14:paraId="53D4560D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80A895D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276" w:type="dxa"/>
            <w:noWrap/>
            <w:vAlign w:val="center"/>
            <w:hideMark/>
          </w:tcPr>
          <w:p w14:paraId="37447F3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336.131,00</w:t>
            </w:r>
          </w:p>
        </w:tc>
        <w:tc>
          <w:tcPr>
            <w:tcW w:w="1276" w:type="dxa"/>
            <w:noWrap/>
            <w:vAlign w:val="center"/>
            <w:hideMark/>
          </w:tcPr>
          <w:p w14:paraId="59D03C70" w14:textId="7EB1F15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7306" w14:textId="0B84B2D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0687AF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15.635,00</w:t>
            </w:r>
          </w:p>
        </w:tc>
        <w:tc>
          <w:tcPr>
            <w:tcW w:w="993" w:type="dxa"/>
            <w:noWrap/>
            <w:vAlign w:val="center"/>
            <w:hideMark/>
          </w:tcPr>
          <w:p w14:paraId="2341D15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4,65%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2F07A867" w14:textId="7CA9B18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204FE1F1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13F61A6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422 Postrojenja i oprema</w:t>
            </w:r>
          </w:p>
        </w:tc>
        <w:tc>
          <w:tcPr>
            <w:tcW w:w="1276" w:type="dxa"/>
            <w:noWrap/>
            <w:vAlign w:val="center"/>
            <w:hideMark/>
          </w:tcPr>
          <w:p w14:paraId="635E8CB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29.245,46</w:t>
            </w:r>
          </w:p>
        </w:tc>
        <w:tc>
          <w:tcPr>
            <w:tcW w:w="1276" w:type="dxa"/>
            <w:noWrap/>
            <w:vAlign w:val="center"/>
            <w:hideMark/>
          </w:tcPr>
          <w:p w14:paraId="3D486EDE" w14:textId="7CCD6493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ED20B33" w14:textId="6E985B6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B04611D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15.635,00</w:t>
            </w:r>
          </w:p>
        </w:tc>
        <w:tc>
          <w:tcPr>
            <w:tcW w:w="993" w:type="dxa"/>
            <w:noWrap/>
            <w:vAlign w:val="center"/>
            <w:hideMark/>
          </w:tcPr>
          <w:p w14:paraId="720EA19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53,46%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365970F9" w14:textId="150C382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7B274C34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339B9A17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4221 Uredska oprema i namještaj</w:t>
            </w:r>
          </w:p>
        </w:tc>
        <w:tc>
          <w:tcPr>
            <w:tcW w:w="1276" w:type="dxa"/>
            <w:noWrap/>
            <w:vAlign w:val="center"/>
            <w:hideMark/>
          </w:tcPr>
          <w:p w14:paraId="73733F6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2753D3C5" w14:textId="65F67B5E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5EFEA88" w14:textId="3BE7AAF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005458F" w14:textId="41970CE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54A7D35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65B21046" w14:textId="10D2D4F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6006A80A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2DA373FB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4222 Komunikacijska oprema</w:t>
            </w:r>
          </w:p>
        </w:tc>
        <w:tc>
          <w:tcPr>
            <w:tcW w:w="1276" w:type="dxa"/>
            <w:noWrap/>
            <w:vAlign w:val="center"/>
            <w:hideMark/>
          </w:tcPr>
          <w:p w14:paraId="72A53F3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9.611,01</w:t>
            </w:r>
          </w:p>
        </w:tc>
        <w:tc>
          <w:tcPr>
            <w:tcW w:w="1276" w:type="dxa"/>
            <w:noWrap/>
            <w:vAlign w:val="center"/>
            <w:hideMark/>
          </w:tcPr>
          <w:p w14:paraId="48773BC8" w14:textId="5AD6590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3D4BFD" w14:textId="6C221EFB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798E4B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5.723,75</w:t>
            </w:r>
          </w:p>
        </w:tc>
        <w:tc>
          <w:tcPr>
            <w:tcW w:w="993" w:type="dxa"/>
            <w:noWrap/>
            <w:vAlign w:val="center"/>
            <w:hideMark/>
          </w:tcPr>
          <w:p w14:paraId="4F8AA54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59,55%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14F39779" w14:textId="03409BF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4CBC85AC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A69727A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4223 Oprema za održavanje i zaštitu</w:t>
            </w:r>
          </w:p>
        </w:tc>
        <w:tc>
          <w:tcPr>
            <w:tcW w:w="1276" w:type="dxa"/>
            <w:noWrap/>
            <w:vAlign w:val="center"/>
            <w:hideMark/>
          </w:tcPr>
          <w:p w14:paraId="3A59B34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17.250,00</w:t>
            </w:r>
          </w:p>
        </w:tc>
        <w:tc>
          <w:tcPr>
            <w:tcW w:w="1276" w:type="dxa"/>
            <w:noWrap/>
            <w:vAlign w:val="center"/>
            <w:hideMark/>
          </w:tcPr>
          <w:p w14:paraId="1E3F4F23" w14:textId="740B8149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CBA8DC" w14:textId="786BC25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919F424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9.911,25</w:t>
            </w:r>
          </w:p>
        </w:tc>
        <w:tc>
          <w:tcPr>
            <w:tcW w:w="993" w:type="dxa"/>
            <w:noWrap/>
            <w:vAlign w:val="center"/>
            <w:hideMark/>
          </w:tcPr>
          <w:p w14:paraId="43B7B21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57,46%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7936F75C" w14:textId="60AC07DA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5C456B24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760FE0F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276" w:type="dxa"/>
            <w:noWrap/>
            <w:vAlign w:val="center"/>
            <w:hideMark/>
          </w:tcPr>
          <w:p w14:paraId="5EFF78D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1.384,45</w:t>
            </w:r>
          </w:p>
        </w:tc>
        <w:tc>
          <w:tcPr>
            <w:tcW w:w="1276" w:type="dxa"/>
            <w:noWrap/>
            <w:vAlign w:val="center"/>
            <w:hideMark/>
          </w:tcPr>
          <w:p w14:paraId="09CB9F75" w14:textId="590B179C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B10CB1" w14:textId="1995A8B2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A40BD31" w14:textId="1D757328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0A6C0F1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5844A39C" w14:textId="42B62E1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3F0F6D4B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6E2C2B40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423 Prijevozna sredstva</w:t>
            </w:r>
          </w:p>
        </w:tc>
        <w:tc>
          <w:tcPr>
            <w:tcW w:w="1276" w:type="dxa"/>
            <w:noWrap/>
            <w:vAlign w:val="center"/>
            <w:hideMark/>
          </w:tcPr>
          <w:p w14:paraId="2F843B06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306.885,54</w:t>
            </w:r>
          </w:p>
        </w:tc>
        <w:tc>
          <w:tcPr>
            <w:tcW w:w="1276" w:type="dxa"/>
            <w:noWrap/>
            <w:vAlign w:val="center"/>
            <w:hideMark/>
          </w:tcPr>
          <w:p w14:paraId="7ED929EC" w14:textId="3DCF8BB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C2A2D48" w14:textId="5E30B311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9180863" w14:textId="0D52721D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A0680B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06853358" w14:textId="6212BE1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096B7ABD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4DE0A42C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4231 Prijevozna sredstva u cestovnom prometu</w:t>
            </w:r>
          </w:p>
        </w:tc>
        <w:tc>
          <w:tcPr>
            <w:tcW w:w="1276" w:type="dxa"/>
            <w:noWrap/>
            <w:vAlign w:val="center"/>
            <w:hideMark/>
          </w:tcPr>
          <w:p w14:paraId="3E07023A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306.885,54</w:t>
            </w:r>
          </w:p>
        </w:tc>
        <w:tc>
          <w:tcPr>
            <w:tcW w:w="1276" w:type="dxa"/>
            <w:noWrap/>
            <w:vAlign w:val="center"/>
            <w:hideMark/>
          </w:tcPr>
          <w:p w14:paraId="2DED4789" w14:textId="2EF07B55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DE0BCB" w14:textId="5AB83994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B7726FE" w14:textId="6885CA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51F934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13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  <w:tc>
          <w:tcPr>
            <w:tcW w:w="1094" w:type="dxa"/>
            <w:gridSpan w:val="2"/>
            <w:noWrap/>
            <w:vAlign w:val="center"/>
            <w:hideMark/>
          </w:tcPr>
          <w:p w14:paraId="6760D8D6" w14:textId="04131F66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7132" w:rsidRPr="007F7132" w14:paraId="1FEDA2E2" w14:textId="77777777" w:rsidTr="00903DD0">
        <w:trPr>
          <w:trHeight w:val="300"/>
        </w:trPr>
        <w:tc>
          <w:tcPr>
            <w:tcW w:w="4253" w:type="dxa"/>
            <w:noWrap/>
            <w:vAlign w:val="center"/>
            <w:hideMark/>
          </w:tcPr>
          <w:p w14:paraId="7B5054D6" w14:textId="77777777" w:rsidR="007F7132" w:rsidRPr="007F7132" w:rsidRDefault="007F7132" w:rsidP="007F7132">
            <w:pPr>
              <w:pStyle w:val="Bezprore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53D38E13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75FE6450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noWrap/>
            <w:hideMark/>
          </w:tcPr>
          <w:p w14:paraId="3B5B431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noWrap/>
            <w:hideMark/>
          </w:tcPr>
          <w:p w14:paraId="372A27F8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noWrap/>
            <w:hideMark/>
          </w:tcPr>
          <w:p w14:paraId="674C21AB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noWrap/>
            <w:hideMark/>
          </w:tcPr>
          <w:p w14:paraId="6EB48F62" w14:textId="77777777" w:rsidR="007F7132" w:rsidRPr="007F7132" w:rsidRDefault="007F7132" w:rsidP="007F713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764AF46" w14:textId="77777777" w:rsidR="0076178C" w:rsidRDefault="0076178C" w:rsidP="00C5365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7794B" w14:textId="77777777" w:rsidR="00351EFA" w:rsidRPr="00351EFA" w:rsidRDefault="00351EFA" w:rsidP="00351EF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40279A6" w14:textId="76C20658" w:rsidR="0076178C" w:rsidRPr="00351EFA" w:rsidRDefault="00351EFA" w:rsidP="00351EFA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351EFA">
        <w:rPr>
          <w:rFonts w:ascii="Times New Roman" w:hAnsi="Times New Roman" w:cs="Times New Roman"/>
          <w:sz w:val="28"/>
          <w:szCs w:val="28"/>
        </w:rPr>
        <w:t xml:space="preserve">Ukupni rashodi  poslovanja ostvareni su u iznosu </w:t>
      </w:r>
      <w:r>
        <w:rPr>
          <w:rFonts w:ascii="Times New Roman" w:hAnsi="Times New Roman" w:cs="Times New Roman"/>
          <w:sz w:val="28"/>
          <w:szCs w:val="28"/>
        </w:rPr>
        <w:t xml:space="preserve">1.235.446,66 </w:t>
      </w:r>
      <w:r w:rsidRPr="00351EFA">
        <w:rPr>
          <w:rFonts w:ascii="Times New Roman" w:hAnsi="Times New Roman" w:cs="Times New Roman"/>
          <w:sz w:val="28"/>
          <w:szCs w:val="28"/>
        </w:rPr>
        <w:t xml:space="preserve"> eura, što je u odnosu na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1EFA">
        <w:rPr>
          <w:rFonts w:ascii="Times New Roman" w:hAnsi="Times New Roman" w:cs="Times New Roman"/>
          <w:sz w:val="28"/>
          <w:szCs w:val="28"/>
        </w:rPr>
        <w:t xml:space="preserve"> </w:t>
      </w:r>
      <w:r w:rsidRPr="002E4B2A">
        <w:rPr>
          <w:rFonts w:ascii="Times New Roman" w:hAnsi="Times New Roman" w:cs="Times New Roman"/>
          <w:sz w:val="28"/>
          <w:szCs w:val="28"/>
        </w:rPr>
        <w:t>. godinu</w:t>
      </w:r>
      <w:r w:rsidR="00E92142" w:rsidRPr="002E4B2A">
        <w:rPr>
          <w:rFonts w:ascii="Times New Roman" w:hAnsi="Times New Roman" w:cs="Times New Roman"/>
          <w:sz w:val="28"/>
          <w:szCs w:val="28"/>
        </w:rPr>
        <w:t xml:space="preserve"> manje 9,14%.  Iz usporednih podataka u gornjoj tabeli možemo vidjeti da smo u 2024. godini imale izdatke za nabavku nefinancijske imovine višestruko veće, a</w:t>
      </w:r>
      <w:r w:rsidR="00E92142" w:rsidRPr="002E4B2A">
        <w:t xml:space="preserve">  </w:t>
      </w:r>
      <w:r w:rsidR="002E4B2A" w:rsidRPr="002E4B2A">
        <w:rPr>
          <w:sz w:val="28"/>
          <w:szCs w:val="28"/>
        </w:rPr>
        <w:t>n</w:t>
      </w:r>
      <w:r w:rsidR="00E92142" w:rsidRPr="002E4B2A">
        <w:rPr>
          <w:rFonts w:ascii="Times New Roman" w:hAnsi="Times New Roman" w:cs="Times New Roman"/>
          <w:sz w:val="28"/>
          <w:szCs w:val="28"/>
        </w:rPr>
        <w:t>ajveća stavka odnosu se na nabavku jednog novog vatrogasnog vozila. Njegova nabavna cijene je iznosila  je 306.885,54 eura</w:t>
      </w:r>
      <w:r w:rsidRPr="002E4B2A">
        <w:rPr>
          <w:rFonts w:ascii="Times New Roman" w:hAnsi="Times New Roman" w:cs="Times New Roman"/>
          <w:sz w:val="28"/>
          <w:szCs w:val="28"/>
        </w:rPr>
        <w:t xml:space="preserve">.  Iz gornje tabale </w:t>
      </w:r>
      <w:r w:rsidR="002E4B2A" w:rsidRPr="002E4B2A">
        <w:rPr>
          <w:rFonts w:ascii="Times New Roman" w:hAnsi="Times New Roman" w:cs="Times New Roman"/>
          <w:sz w:val="28"/>
          <w:szCs w:val="28"/>
        </w:rPr>
        <w:t xml:space="preserve">također, </w:t>
      </w:r>
      <w:r w:rsidRPr="002E4B2A">
        <w:rPr>
          <w:rFonts w:ascii="Times New Roman" w:hAnsi="Times New Roman" w:cs="Times New Roman"/>
          <w:sz w:val="28"/>
          <w:szCs w:val="28"/>
        </w:rPr>
        <w:t>možemo vidjeti da</w:t>
      </w:r>
      <w:r w:rsidR="002E4B2A" w:rsidRPr="002E4B2A">
        <w:rPr>
          <w:rFonts w:ascii="Times New Roman" w:hAnsi="Times New Roman" w:cs="Times New Roman"/>
          <w:sz w:val="28"/>
          <w:szCs w:val="28"/>
        </w:rPr>
        <w:t xml:space="preserve"> su za razliku od rashoda za nabavku nefinancijske </w:t>
      </w:r>
      <w:r w:rsidR="002E4B2A">
        <w:rPr>
          <w:rFonts w:ascii="Times New Roman" w:hAnsi="Times New Roman" w:cs="Times New Roman"/>
          <w:sz w:val="28"/>
          <w:szCs w:val="28"/>
        </w:rPr>
        <w:t xml:space="preserve"> imovine materijalni rashodi  poslovanja porasli za 18,51%. U tom </w:t>
      </w:r>
      <w:r w:rsidRPr="002E4B2A">
        <w:rPr>
          <w:rFonts w:ascii="Times New Roman" w:hAnsi="Times New Roman" w:cs="Times New Roman"/>
          <w:sz w:val="28"/>
          <w:szCs w:val="28"/>
        </w:rPr>
        <w:t xml:space="preserve"> </w:t>
      </w:r>
      <w:r w:rsidRPr="002E4B2A">
        <w:rPr>
          <w:rFonts w:ascii="Times New Roman" w:hAnsi="Times New Roman" w:cs="Times New Roman"/>
          <w:sz w:val="28"/>
          <w:szCs w:val="28"/>
        </w:rPr>
        <w:lastRenderedPageBreak/>
        <w:t>povećanju rashoda najviše</w:t>
      </w:r>
      <w:r w:rsidR="002E4B2A">
        <w:rPr>
          <w:rFonts w:ascii="Times New Roman" w:hAnsi="Times New Roman" w:cs="Times New Roman"/>
          <w:sz w:val="28"/>
          <w:szCs w:val="28"/>
        </w:rPr>
        <w:t xml:space="preserve"> sudjeluje </w:t>
      </w:r>
      <w:r w:rsidRPr="002E4B2A">
        <w:rPr>
          <w:rFonts w:ascii="Times New Roman" w:hAnsi="Times New Roman" w:cs="Times New Roman"/>
          <w:sz w:val="28"/>
          <w:szCs w:val="28"/>
        </w:rPr>
        <w:t xml:space="preserve"> povećanje izdataka za zaposlene, plaće i ostali rashodi za zaposlene. </w:t>
      </w:r>
      <w:r w:rsidR="00C73AED">
        <w:rPr>
          <w:rFonts w:ascii="Times New Roman" w:hAnsi="Times New Roman" w:cs="Times New Roman"/>
          <w:sz w:val="28"/>
          <w:szCs w:val="28"/>
        </w:rPr>
        <w:t>Radi izmjene pravilnika o proračunskom računovodstvu i računskom planu</w:t>
      </w:r>
      <w:r w:rsidRPr="002E4B2A">
        <w:rPr>
          <w:rFonts w:ascii="Times New Roman" w:hAnsi="Times New Roman" w:cs="Times New Roman"/>
          <w:sz w:val="28"/>
          <w:szCs w:val="28"/>
        </w:rPr>
        <w:t xml:space="preserve"> </w:t>
      </w:r>
      <w:r w:rsidR="00C73AED">
        <w:rPr>
          <w:rFonts w:ascii="Times New Roman" w:hAnsi="Times New Roman" w:cs="Times New Roman"/>
          <w:sz w:val="28"/>
          <w:szCs w:val="28"/>
        </w:rPr>
        <w:t xml:space="preserve"> u rashodima za zaposlene iskazano je trinaest plaća, budući po novom pravilniku plaće prosinca ulazi u troška 2025. godine. A to znači da iskazni rast rashoda za zaposlene, u stvarnosti se na odnosi na rast plaća zaposlenih. Rast plaća zaposlenih bio je približno 3% i to od 1. rujana 2025. godine.</w:t>
      </w:r>
    </w:p>
    <w:p w14:paraId="5E01B55C" w14:textId="77777777" w:rsidR="0076178C" w:rsidRPr="00111B38" w:rsidRDefault="0076178C" w:rsidP="00C5365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C416D" w14:textId="77777777" w:rsidR="00E53404" w:rsidRDefault="00E53404" w:rsidP="00AA7230">
      <w:pPr>
        <w:pStyle w:val="Bezprored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62C482F" w14:textId="21DBBBFB" w:rsidR="001C07E1" w:rsidRDefault="001C07E1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-7-</w:t>
      </w:r>
    </w:p>
    <w:p w14:paraId="07A11C8E" w14:textId="77777777" w:rsidR="00C233D7" w:rsidRPr="00C233D7" w:rsidRDefault="00C233D7" w:rsidP="00C233D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4B2F3" w14:textId="4AD1275C" w:rsidR="00C233D7" w:rsidRDefault="00C233D7" w:rsidP="00C233D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3D7">
        <w:rPr>
          <w:rFonts w:ascii="Times New Roman" w:hAnsi="Times New Roman" w:cs="Times New Roman"/>
          <w:b/>
          <w:sz w:val="28"/>
          <w:szCs w:val="28"/>
        </w:rPr>
        <w:t>IZVJEŠTAJ O PRIHODIMA I RASHODIMA PREMA IZVORU FINANCIRANJA</w:t>
      </w:r>
    </w:p>
    <w:p w14:paraId="6BD9E965" w14:textId="77777777" w:rsidR="001C07E1" w:rsidRDefault="001C07E1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11049" w:type="dxa"/>
        <w:tblInd w:w="-743" w:type="dxa"/>
        <w:tblLook w:val="04A0" w:firstRow="1" w:lastRow="0" w:firstColumn="1" w:lastColumn="0" w:noHBand="0" w:noVBand="1"/>
      </w:tblPr>
      <w:tblGrid>
        <w:gridCol w:w="3828"/>
        <w:gridCol w:w="1266"/>
        <w:gridCol w:w="1266"/>
        <w:gridCol w:w="1360"/>
        <w:gridCol w:w="1327"/>
        <w:gridCol w:w="1036"/>
        <w:gridCol w:w="966"/>
      </w:tblGrid>
      <w:tr w:rsidR="00C233D7" w:rsidRPr="00C233D7" w14:paraId="58FE2A1B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448B5AF7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266" w:type="dxa"/>
            <w:noWrap/>
            <w:vAlign w:val="center"/>
            <w:hideMark/>
          </w:tcPr>
          <w:p w14:paraId="312D8DEC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266" w:type="dxa"/>
            <w:noWrap/>
            <w:vAlign w:val="center"/>
            <w:hideMark/>
          </w:tcPr>
          <w:p w14:paraId="3BAA688F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2025.</w:t>
            </w:r>
          </w:p>
        </w:tc>
        <w:tc>
          <w:tcPr>
            <w:tcW w:w="1360" w:type="dxa"/>
            <w:noWrap/>
            <w:vAlign w:val="center"/>
            <w:hideMark/>
          </w:tcPr>
          <w:p w14:paraId="1379F6EA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1327" w:type="dxa"/>
            <w:noWrap/>
            <w:vAlign w:val="center"/>
            <w:hideMark/>
          </w:tcPr>
          <w:p w14:paraId="490234FE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2025.</w:t>
            </w:r>
          </w:p>
        </w:tc>
        <w:tc>
          <w:tcPr>
            <w:tcW w:w="1036" w:type="dxa"/>
            <w:noWrap/>
            <w:vAlign w:val="center"/>
            <w:hideMark/>
          </w:tcPr>
          <w:p w14:paraId="74B7C0C6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966" w:type="dxa"/>
            <w:noWrap/>
            <w:vAlign w:val="center"/>
            <w:hideMark/>
          </w:tcPr>
          <w:p w14:paraId="486B573A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4/3</w:t>
            </w:r>
          </w:p>
        </w:tc>
      </w:tr>
      <w:tr w:rsidR="00C233D7" w:rsidRPr="00C233D7" w14:paraId="0F3078A4" w14:textId="77777777" w:rsidTr="00C233D7">
        <w:trPr>
          <w:trHeight w:val="300"/>
        </w:trPr>
        <w:tc>
          <w:tcPr>
            <w:tcW w:w="3828" w:type="dxa"/>
            <w:noWrap/>
            <w:hideMark/>
          </w:tcPr>
          <w:p w14:paraId="29A22613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266" w:type="dxa"/>
            <w:noWrap/>
            <w:vAlign w:val="center"/>
            <w:hideMark/>
          </w:tcPr>
          <w:p w14:paraId="4C9B7FB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vAlign w:val="center"/>
            <w:hideMark/>
          </w:tcPr>
          <w:p w14:paraId="047E8C83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14:paraId="05E11D97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27" w:type="dxa"/>
            <w:noWrap/>
            <w:vAlign w:val="center"/>
            <w:hideMark/>
          </w:tcPr>
          <w:p w14:paraId="2838CC79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6" w:type="dxa"/>
            <w:noWrap/>
            <w:vAlign w:val="center"/>
            <w:hideMark/>
          </w:tcPr>
          <w:p w14:paraId="260914A7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6" w:type="dxa"/>
            <w:noWrap/>
            <w:vAlign w:val="center"/>
            <w:hideMark/>
          </w:tcPr>
          <w:p w14:paraId="456A0437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233D7" w:rsidRPr="00C233D7" w14:paraId="20615367" w14:textId="77777777" w:rsidTr="00C233D7">
        <w:trPr>
          <w:trHeight w:val="300"/>
        </w:trPr>
        <w:tc>
          <w:tcPr>
            <w:tcW w:w="3828" w:type="dxa"/>
            <w:noWrap/>
            <w:hideMark/>
          </w:tcPr>
          <w:p w14:paraId="5190EA1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SVEUKUPNI PRIHODI</w:t>
            </w:r>
          </w:p>
        </w:tc>
        <w:tc>
          <w:tcPr>
            <w:tcW w:w="1266" w:type="dxa"/>
            <w:noWrap/>
            <w:vAlign w:val="center"/>
            <w:hideMark/>
          </w:tcPr>
          <w:p w14:paraId="3F707AB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1.120.196,28</w:t>
            </w:r>
          </w:p>
        </w:tc>
        <w:tc>
          <w:tcPr>
            <w:tcW w:w="1266" w:type="dxa"/>
            <w:noWrap/>
            <w:vAlign w:val="center"/>
            <w:hideMark/>
          </w:tcPr>
          <w:p w14:paraId="5921D2C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360" w:type="dxa"/>
            <w:noWrap/>
            <w:vAlign w:val="center"/>
            <w:hideMark/>
          </w:tcPr>
          <w:p w14:paraId="01A094A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1.355.319,42</w:t>
            </w:r>
          </w:p>
        </w:tc>
        <w:tc>
          <w:tcPr>
            <w:tcW w:w="1327" w:type="dxa"/>
            <w:noWrap/>
            <w:vAlign w:val="center"/>
            <w:hideMark/>
          </w:tcPr>
          <w:p w14:paraId="0874B66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1.157.869,58</w:t>
            </w:r>
          </w:p>
        </w:tc>
        <w:tc>
          <w:tcPr>
            <w:tcW w:w="1036" w:type="dxa"/>
            <w:noWrap/>
            <w:hideMark/>
          </w:tcPr>
          <w:p w14:paraId="0085283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103,36%</w:t>
            </w:r>
          </w:p>
        </w:tc>
        <w:tc>
          <w:tcPr>
            <w:tcW w:w="966" w:type="dxa"/>
            <w:noWrap/>
            <w:hideMark/>
          </w:tcPr>
          <w:p w14:paraId="0F6492D3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85,43%</w:t>
            </w:r>
          </w:p>
        </w:tc>
      </w:tr>
      <w:tr w:rsidR="00C233D7" w:rsidRPr="00C233D7" w14:paraId="231A2981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50C95A3A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266" w:type="dxa"/>
            <w:noWrap/>
            <w:vAlign w:val="center"/>
            <w:hideMark/>
          </w:tcPr>
          <w:p w14:paraId="57974BA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767.694,35</w:t>
            </w:r>
          </w:p>
        </w:tc>
        <w:tc>
          <w:tcPr>
            <w:tcW w:w="1266" w:type="dxa"/>
            <w:noWrap/>
            <w:vAlign w:val="center"/>
            <w:hideMark/>
          </w:tcPr>
          <w:p w14:paraId="623ECED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360" w:type="dxa"/>
            <w:noWrap/>
            <w:vAlign w:val="center"/>
            <w:hideMark/>
          </w:tcPr>
          <w:p w14:paraId="1E91E14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5D7C2C1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806.791,37</w:t>
            </w:r>
          </w:p>
        </w:tc>
        <w:tc>
          <w:tcPr>
            <w:tcW w:w="1036" w:type="dxa"/>
            <w:noWrap/>
            <w:hideMark/>
          </w:tcPr>
          <w:p w14:paraId="7FB4839C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105,09%</w:t>
            </w:r>
          </w:p>
        </w:tc>
        <w:tc>
          <w:tcPr>
            <w:tcW w:w="966" w:type="dxa"/>
            <w:noWrap/>
            <w:hideMark/>
          </w:tcPr>
          <w:p w14:paraId="4B29F14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81,08%</w:t>
            </w:r>
          </w:p>
        </w:tc>
      </w:tr>
      <w:tr w:rsidR="00C233D7" w:rsidRPr="00C233D7" w14:paraId="0037F904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3DB7053E" w14:textId="4661C573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266" w:type="dxa"/>
            <w:noWrap/>
            <w:vAlign w:val="center"/>
            <w:hideMark/>
          </w:tcPr>
          <w:p w14:paraId="3150EB0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767.694,35</w:t>
            </w:r>
          </w:p>
        </w:tc>
        <w:tc>
          <w:tcPr>
            <w:tcW w:w="1266" w:type="dxa"/>
            <w:noWrap/>
            <w:vAlign w:val="center"/>
            <w:hideMark/>
          </w:tcPr>
          <w:p w14:paraId="0855144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360" w:type="dxa"/>
            <w:noWrap/>
            <w:vAlign w:val="center"/>
            <w:hideMark/>
          </w:tcPr>
          <w:p w14:paraId="42F8C6F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5CF6726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806.791,37</w:t>
            </w:r>
          </w:p>
        </w:tc>
        <w:tc>
          <w:tcPr>
            <w:tcW w:w="1036" w:type="dxa"/>
            <w:noWrap/>
            <w:hideMark/>
          </w:tcPr>
          <w:p w14:paraId="7590F1B3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105,09%</w:t>
            </w:r>
          </w:p>
        </w:tc>
        <w:tc>
          <w:tcPr>
            <w:tcW w:w="966" w:type="dxa"/>
            <w:noWrap/>
            <w:hideMark/>
          </w:tcPr>
          <w:p w14:paraId="54955703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81,08%</w:t>
            </w:r>
          </w:p>
        </w:tc>
      </w:tr>
      <w:tr w:rsidR="00C233D7" w:rsidRPr="00C233D7" w14:paraId="66BDF5D7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7E58C9A5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266" w:type="dxa"/>
            <w:noWrap/>
            <w:vAlign w:val="center"/>
            <w:hideMark/>
          </w:tcPr>
          <w:p w14:paraId="2F3CABD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32.017,93</w:t>
            </w:r>
          </w:p>
        </w:tc>
        <w:tc>
          <w:tcPr>
            <w:tcW w:w="1266" w:type="dxa"/>
            <w:noWrap/>
            <w:vAlign w:val="center"/>
            <w:hideMark/>
          </w:tcPr>
          <w:p w14:paraId="45982FF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360" w:type="dxa"/>
            <w:noWrap/>
            <w:vAlign w:val="center"/>
            <w:hideMark/>
          </w:tcPr>
          <w:p w14:paraId="7A74012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17.176,00</w:t>
            </w:r>
          </w:p>
        </w:tc>
        <w:tc>
          <w:tcPr>
            <w:tcW w:w="1327" w:type="dxa"/>
            <w:noWrap/>
            <w:vAlign w:val="center"/>
            <w:hideMark/>
          </w:tcPr>
          <w:p w14:paraId="4F5DDFE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18.836,48</w:t>
            </w:r>
          </w:p>
        </w:tc>
        <w:tc>
          <w:tcPr>
            <w:tcW w:w="1036" w:type="dxa"/>
            <w:noWrap/>
            <w:hideMark/>
          </w:tcPr>
          <w:p w14:paraId="5F63A8E9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58,83%</w:t>
            </w:r>
          </w:p>
        </w:tc>
        <w:tc>
          <w:tcPr>
            <w:tcW w:w="966" w:type="dxa"/>
            <w:noWrap/>
            <w:hideMark/>
          </w:tcPr>
          <w:p w14:paraId="0D53E67D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109,67%</w:t>
            </w:r>
          </w:p>
        </w:tc>
      </w:tr>
      <w:tr w:rsidR="00C233D7" w:rsidRPr="00C233D7" w14:paraId="4EB7D60F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208D2E4C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3.2. Vlastiti prihodi</w:t>
            </w:r>
          </w:p>
        </w:tc>
        <w:tc>
          <w:tcPr>
            <w:tcW w:w="1266" w:type="dxa"/>
            <w:noWrap/>
            <w:vAlign w:val="center"/>
            <w:hideMark/>
          </w:tcPr>
          <w:p w14:paraId="6335D06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32.017,93</w:t>
            </w:r>
          </w:p>
        </w:tc>
        <w:tc>
          <w:tcPr>
            <w:tcW w:w="1266" w:type="dxa"/>
            <w:noWrap/>
            <w:vAlign w:val="center"/>
            <w:hideMark/>
          </w:tcPr>
          <w:p w14:paraId="228810FA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360" w:type="dxa"/>
            <w:noWrap/>
            <w:vAlign w:val="center"/>
            <w:hideMark/>
          </w:tcPr>
          <w:p w14:paraId="5900045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17.176,00</w:t>
            </w:r>
          </w:p>
        </w:tc>
        <w:tc>
          <w:tcPr>
            <w:tcW w:w="1327" w:type="dxa"/>
            <w:noWrap/>
            <w:vAlign w:val="center"/>
            <w:hideMark/>
          </w:tcPr>
          <w:p w14:paraId="70B335F3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18.836,48</w:t>
            </w:r>
          </w:p>
        </w:tc>
        <w:tc>
          <w:tcPr>
            <w:tcW w:w="1036" w:type="dxa"/>
            <w:noWrap/>
            <w:hideMark/>
          </w:tcPr>
          <w:p w14:paraId="26299BE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58,83%</w:t>
            </w:r>
          </w:p>
        </w:tc>
        <w:tc>
          <w:tcPr>
            <w:tcW w:w="966" w:type="dxa"/>
            <w:noWrap/>
            <w:hideMark/>
          </w:tcPr>
          <w:p w14:paraId="254E7A5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109,67%</w:t>
            </w:r>
          </w:p>
        </w:tc>
      </w:tr>
      <w:tr w:rsidR="00C233D7" w:rsidRPr="00C233D7" w14:paraId="19ABDC7D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7D9BECB7" w14:textId="5B2ACD20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 Prih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za posebne namjene</w:t>
            </w:r>
          </w:p>
        </w:tc>
        <w:tc>
          <w:tcPr>
            <w:tcW w:w="1266" w:type="dxa"/>
            <w:noWrap/>
            <w:vAlign w:val="center"/>
            <w:hideMark/>
          </w:tcPr>
          <w:p w14:paraId="61D51E9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noWrap/>
            <w:vAlign w:val="center"/>
            <w:hideMark/>
          </w:tcPr>
          <w:p w14:paraId="480284B4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360" w:type="dxa"/>
            <w:noWrap/>
            <w:vAlign w:val="center"/>
            <w:hideMark/>
          </w:tcPr>
          <w:p w14:paraId="23A9DA0A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327" w:type="dxa"/>
            <w:noWrap/>
            <w:vAlign w:val="center"/>
            <w:hideMark/>
          </w:tcPr>
          <w:p w14:paraId="461E73A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331.441,73</w:t>
            </w:r>
          </w:p>
        </w:tc>
        <w:tc>
          <w:tcPr>
            <w:tcW w:w="1036" w:type="dxa"/>
            <w:noWrap/>
            <w:hideMark/>
          </w:tcPr>
          <w:p w14:paraId="19475BC2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106,78%</w:t>
            </w:r>
          </w:p>
        </w:tc>
        <w:tc>
          <w:tcPr>
            <w:tcW w:w="966" w:type="dxa"/>
            <w:noWrap/>
            <w:hideMark/>
          </w:tcPr>
          <w:p w14:paraId="6197DAA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99,79%</w:t>
            </w:r>
          </w:p>
        </w:tc>
      </w:tr>
      <w:tr w:rsidR="00C233D7" w:rsidRPr="00C233D7" w14:paraId="526EE3F2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71365424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4.3. Ostali prihodi za posebne namjene</w:t>
            </w:r>
          </w:p>
        </w:tc>
        <w:tc>
          <w:tcPr>
            <w:tcW w:w="1266" w:type="dxa"/>
            <w:noWrap/>
            <w:vAlign w:val="center"/>
            <w:hideMark/>
          </w:tcPr>
          <w:p w14:paraId="4C46D3C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noWrap/>
            <w:vAlign w:val="center"/>
            <w:hideMark/>
          </w:tcPr>
          <w:p w14:paraId="543745F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360" w:type="dxa"/>
            <w:noWrap/>
            <w:vAlign w:val="center"/>
            <w:hideMark/>
          </w:tcPr>
          <w:p w14:paraId="678327C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327" w:type="dxa"/>
            <w:noWrap/>
            <w:vAlign w:val="center"/>
            <w:hideMark/>
          </w:tcPr>
          <w:p w14:paraId="2D9A1FD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331.441,73</w:t>
            </w:r>
          </w:p>
        </w:tc>
        <w:tc>
          <w:tcPr>
            <w:tcW w:w="1036" w:type="dxa"/>
            <w:noWrap/>
            <w:hideMark/>
          </w:tcPr>
          <w:p w14:paraId="0CC3479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106,78%</w:t>
            </w:r>
          </w:p>
        </w:tc>
        <w:tc>
          <w:tcPr>
            <w:tcW w:w="966" w:type="dxa"/>
            <w:noWrap/>
            <w:hideMark/>
          </w:tcPr>
          <w:p w14:paraId="3A9DCA83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99,79%</w:t>
            </w:r>
          </w:p>
        </w:tc>
      </w:tr>
      <w:tr w:rsidR="00C233D7" w:rsidRPr="00C233D7" w14:paraId="584B354C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032BAB63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266" w:type="dxa"/>
            <w:noWrap/>
            <w:vAlign w:val="center"/>
            <w:hideMark/>
          </w:tcPr>
          <w:p w14:paraId="3D5A9AB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57EEC064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7D579F9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2592F10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113451DD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1F353BFE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167FE30B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58487D06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5.4. Pomoći za proračunske korisnike</w:t>
            </w:r>
          </w:p>
        </w:tc>
        <w:tc>
          <w:tcPr>
            <w:tcW w:w="1266" w:type="dxa"/>
            <w:noWrap/>
            <w:vAlign w:val="center"/>
            <w:hideMark/>
          </w:tcPr>
          <w:p w14:paraId="6FF135E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13ADE03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1080982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3059935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77755606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6B722EF2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19E58382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4335CA7A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 Pomoći</w:t>
            </w:r>
          </w:p>
        </w:tc>
        <w:tc>
          <w:tcPr>
            <w:tcW w:w="1266" w:type="dxa"/>
            <w:noWrap/>
            <w:vAlign w:val="center"/>
            <w:hideMark/>
          </w:tcPr>
          <w:p w14:paraId="01A58DF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10.100,00</w:t>
            </w:r>
          </w:p>
        </w:tc>
        <w:tc>
          <w:tcPr>
            <w:tcW w:w="1266" w:type="dxa"/>
            <w:noWrap/>
            <w:vAlign w:val="center"/>
            <w:hideMark/>
          </w:tcPr>
          <w:p w14:paraId="474479A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28FAC5B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3780EE6E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036" w:type="dxa"/>
            <w:noWrap/>
            <w:hideMark/>
          </w:tcPr>
          <w:p w14:paraId="6847B4B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7,92%</w:t>
            </w:r>
          </w:p>
        </w:tc>
        <w:tc>
          <w:tcPr>
            <w:tcW w:w="966" w:type="dxa"/>
            <w:noWrap/>
            <w:hideMark/>
          </w:tcPr>
          <w:p w14:paraId="21ECF0FB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8,89%</w:t>
            </w:r>
          </w:p>
        </w:tc>
      </w:tr>
      <w:tr w:rsidR="00C233D7" w:rsidRPr="00C233D7" w14:paraId="2B7D42F9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14F2E028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6.4. Donacije za proračunske korisnike</w:t>
            </w:r>
          </w:p>
        </w:tc>
        <w:tc>
          <w:tcPr>
            <w:tcW w:w="1266" w:type="dxa"/>
            <w:noWrap/>
            <w:vAlign w:val="center"/>
            <w:hideMark/>
          </w:tcPr>
          <w:p w14:paraId="448E0E6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10.100,00</w:t>
            </w:r>
          </w:p>
        </w:tc>
        <w:tc>
          <w:tcPr>
            <w:tcW w:w="1266" w:type="dxa"/>
            <w:noWrap/>
            <w:vAlign w:val="center"/>
            <w:hideMark/>
          </w:tcPr>
          <w:p w14:paraId="18CBAE9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58F64FB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7C5C1BE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036" w:type="dxa"/>
            <w:noWrap/>
            <w:hideMark/>
          </w:tcPr>
          <w:p w14:paraId="74A76E9E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7,92%</w:t>
            </w:r>
          </w:p>
        </w:tc>
        <w:tc>
          <w:tcPr>
            <w:tcW w:w="966" w:type="dxa"/>
            <w:noWrap/>
            <w:hideMark/>
          </w:tcPr>
          <w:p w14:paraId="564B8D6C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8,89%</w:t>
            </w:r>
          </w:p>
        </w:tc>
      </w:tr>
      <w:tr w:rsidR="00C233D7" w:rsidRPr="00C233D7" w14:paraId="29ED62EE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7F7F2305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4B6F6B7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0C7B207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60" w:type="dxa"/>
            <w:noWrap/>
            <w:vAlign w:val="center"/>
            <w:hideMark/>
          </w:tcPr>
          <w:p w14:paraId="6A99DD8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327" w:type="dxa"/>
            <w:noWrap/>
            <w:vAlign w:val="center"/>
            <w:hideMark/>
          </w:tcPr>
          <w:p w14:paraId="2BD3A15D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70E23E2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966" w:type="dxa"/>
            <w:noWrap/>
            <w:hideMark/>
          </w:tcPr>
          <w:p w14:paraId="32776869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C233D7" w:rsidRPr="00C233D7" w14:paraId="75FD4115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12F915B0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SVEUKUPNI RASHODI</w:t>
            </w:r>
          </w:p>
        </w:tc>
        <w:tc>
          <w:tcPr>
            <w:tcW w:w="1266" w:type="dxa"/>
            <w:noWrap/>
            <w:vAlign w:val="center"/>
            <w:hideMark/>
          </w:tcPr>
          <w:p w14:paraId="78C1B084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1.327.396,30</w:t>
            </w:r>
          </w:p>
        </w:tc>
        <w:tc>
          <w:tcPr>
            <w:tcW w:w="1266" w:type="dxa"/>
            <w:noWrap/>
            <w:vAlign w:val="center"/>
            <w:hideMark/>
          </w:tcPr>
          <w:p w14:paraId="399D9EE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1.118.399,35</w:t>
            </w:r>
          </w:p>
        </w:tc>
        <w:tc>
          <w:tcPr>
            <w:tcW w:w="1360" w:type="dxa"/>
            <w:noWrap/>
            <w:vAlign w:val="center"/>
            <w:hideMark/>
          </w:tcPr>
          <w:p w14:paraId="6EE5F3E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1.321.384,21</w:t>
            </w:r>
          </w:p>
        </w:tc>
        <w:tc>
          <w:tcPr>
            <w:tcW w:w="1327" w:type="dxa"/>
            <w:noWrap/>
            <w:vAlign w:val="center"/>
            <w:hideMark/>
          </w:tcPr>
          <w:p w14:paraId="06CC06D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1.190.404,56</w:t>
            </w:r>
          </w:p>
        </w:tc>
        <w:tc>
          <w:tcPr>
            <w:tcW w:w="1036" w:type="dxa"/>
            <w:noWrap/>
            <w:hideMark/>
          </w:tcPr>
          <w:p w14:paraId="5C3053FB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89,68%</w:t>
            </w:r>
          </w:p>
        </w:tc>
        <w:tc>
          <w:tcPr>
            <w:tcW w:w="966" w:type="dxa"/>
            <w:noWrap/>
            <w:hideMark/>
          </w:tcPr>
          <w:p w14:paraId="45129C26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90,09%</w:t>
            </w:r>
          </w:p>
        </w:tc>
      </w:tr>
      <w:tr w:rsidR="00C233D7" w:rsidRPr="00C233D7" w14:paraId="2795C476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0FB6B652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266" w:type="dxa"/>
            <w:noWrap/>
            <w:vAlign w:val="center"/>
            <w:hideMark/>
          </w:tcPr>
          <w:p w14:paraId="6F7D2CA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739.049,33</w:t>
            </w:r>
          </w:p>
        </w:tc>
        <w:tc>
          <w:tcPr>
            <w:tcW w:w="1266" w:type="dxa"/>
            <w:noWrap/>
            <w:vAlign w:val="center"/>
            <w:hideMark/>
          </w:tcPr>
          <w:p w14:paraId="3026B35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768.670,00</w:t>
            </w:r>
          </w:p>
        </w:tc>
        <w:tc>
          <w:tcPr>
            <w:tcW w:w="1360" w:type="dxa"/>
            <w:noWrap/>
            <w:vAlign w:val="center"/>
            <w:hideMark/>
          </w:tcPr>
          <w:p w14:paraId="57BC200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672652B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852.404,30</w:t>
            </w:r>
          </w:p>
        </w:tc>
        <w:tc>
          <w:tcPr>
            <w:tcW w:w="1036" w:type="dxa"/>
            <w:noWrap/>
            <w:hideMark/>
          </w:tcPr>
          <w:p w14:paraId="443FEE9A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115,34%</w:t>
            </w:r>
          </w:p>
        </w:tc>
        <w:tc>
          <w:tcPr>
            <w:tcW w:w="966" w:type="dxa"/>
            <w:noWrap/>
            <w:hideMark/>
          </w:tcPr>
          <w:p w14:paraId="63B165A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89,82%</w:t>
            </w:r>
          </w:p>
        </w:tc>
      </w:tr>
      <w:tr w:rsidR="00C233D7" w:rsidRPr="00C233D7" w14:paraId="10D55DB5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379EA1F5" w14:textId="140C2FED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266" w:type="dxa"/>
            <w:noWrap/>
            <w:vAlign w:val="center"/>
            <w:hideMark/>
          </w:tcPr>
          <w:p w14:paraId="5BB80B9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739.049,33</w:t>
            </w:r>
          </w:p>
        </w:tc>
        <w:tc>
          <w:tcPr>
            <w:tcW w:w="1266" w:type="dxa"/>
            <w:noWrap/>
            <w:vAlign w:val="center"/>
            <w:hideMark/>
          </w:tcPr>
          <w:p w14:paraId="3EA1AD0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768.670,00</w:t>
            </w:r>
          </w:p>
        </w:tc>
        <w:tc>
          <w:tcPr>
            <w:tcW w:w="1360" w:type="dxa"/>
            <w:noWrap/>
            <w:vAlign w:val="center"/>
            <w:hideMark/>
          </w:tcPr>
          <w:p w14:paraId="5B777AB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11ACDABD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852.404,30</w:t>
            </w:r>
          </w:p>
        </w:tc>
        <w:tc>
          <w:tcPr>
            <w:tcW w:w="1036" w:type="dxa"/>
            <w:noWrap/>
            <w:hideMark/>
          </w:tcPr>
          <w:p w14:paraId="2F5046F9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115,34%</w:t>
            </w:r>
          </w:p>
        </w:tc>
        <w:tc>
          <w:tcPr>
            <w:tcW w:w="966" w:type="dxa"/>
            <w:noWrap/>
            <w:hideMark/>
          </w:tcPr>
          <w:p w14:paraId="35BF8EC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89,82%</w:t>
            </w:r>
          </w:p>
        </w:tc>
      </w:tr>
      <w:tr w:rsidR="00C233D7" w:rsidRPr="00C233D7" w14:paraId="15526169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6478B46E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266" w:type="dxa"/>
            <w:noWrap/>
            <w:vAlign w:val="center"/>
            <w:hideMark/>
          </w:tcPr>
          <w:p w14:paraId="05AECB5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23.662,97</w:t>
            </w:r>
          </w:p>
        </w:tc>
        <w:tc>
          <w:tcPr>
            <w:tcW w:w="1266" w:type="dxa"/>
            <w:noWrap/>
            <w:vAlign w:val="center"/>
            <w:hideMark/>
          </w:tcPr>
          <w:p w14:paraId="1DBB60E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360" w:type="dxa"/>
            <w:noWrap/>
            <w:vAlign w:val="center"/>
            <w:hideMark/>
          </w:tcPr>
          <w:p w14:paraId="3880923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327" w:type="dxa"/>
            <w:noWrap/>
            <w:vAlign w:val="center"/>
            <w:hideMark/>
          </w:tcPr>
          <w:p w14:paraId="3777540D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036" w:type="dxa"/>
            <w:noWrap/>
            <w:hideMark/>
          </w:tcPr>
          <w:p w14:paraId="77E05667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24,75%</w:t>
            </w:r>
          </w:p>
        </w:tc>
        <w:tc>
          <w:tcPr>
            <w:tcW w:w="966" w:type="dxa"/>
            <w:noWrap/>
            <w:hideMark/>
          </w:tcPr>
          <w:p w14:paraId="745FABE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C233D7" w:rsidRPr="00C233D7" w14:paraId="7651D14C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146FBE4E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3.2. Vlastiti prihodi</w:t>
            </w:r>
          </w:p>
        </w:tc>
        <w:tc>
          <w:tcPr>
            <w:tcW w:w="1266" w:type="dxa"/>
            <w:noWrap/>
            <w:vAlign w:val="center"/>
            <w:hideMark/>
          </w:tcPr>
          <w:p w14:paraId="1DE482EA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23.662,97</w:t>
            </w:r>
          </w:p>
        </w:tc>
        <w:tc>
          <w:tcPr>
            <w:tcW w:w="1266" w:type="dxa"/>
            <w:noWrap/>
            <w:vAlign w:val="center"/>
            <w:hideMark/>
          </w:tcPr>
          <w:p w14:paraId="627F16E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360" w:type="dxa"/>
            <w:noWrap/>
            <w:vAlign w:val="center"/>
            <w:hideMark/>
          </w:tcPr>
          <w:p w14:paraId="409EC28F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327" w:type="dxa"/>
            <w:noWrap/>
            <w:vAlign w:val="center"/>
            <w:hideMark/>
          </w:tcPr>
          <w:p w14:paraId="259AC09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036" w:type="dxa"/>
            <w:noWrap/>
            <w:hideMark/>
          </w:tcPr>
          <w:p w14:paraId="3CDB3620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24,75%</w:t>
            </w:r>
          </w:p>
        </w:tc>
        <w:tc>
          <w:tcPr>
            <w:tcW w:w="966" w:type="dxa"/>
            <w:noWrap/>
            <w:hideMark/>
          </w:tcPr>
          <w:p w14:paraId="40B8383A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C233D7" w:rsidRPr="00C233D7" w14:paraId="26D0BE7F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3BD754B5" w14:textId="71B5B3D4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 Prih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za posebne namjene</w:t>
            </w:r>
          </w:p>
        </w:tc>
        <w:tc>
          <w:tcPr>
            <w:tcW w:w="1266" w:type="dxa"/>
            <w:noWrap/>
            <w:vAlign w:val="center"/>
            <w:hideMark/>
          </w:tcPr>
          <w:p w14:paraId="4ED9869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noWrap/>
            <w:vAlign w:val="center"/>
            <w:hideMark/>
          </w:tcPr>
          <w:p w14:paraId="0A0CF26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360" w:type="dxa"/>
            <w:noWrap/>
            <w:vAlign w:val="center"/>
            <w:hideMark/>
          </w:tcPr>
          <w:p w14:paraId="2DBB041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327" w:type="dxa"/>
            <w:noWrap/>
            <w:vAlign w:val="center"/>
            <w:hideMark/>
          </w:tcPr>
          <w:p w14:paraId="7A9907E6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036" w:type="dxa"/>
            <w:noWrap/>
            <w:hideMark/>
          </w:tcPr>
          <w:p w14:paraId="5BD0F412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107,01%</w:t>
            </w:r>
          </w:p>
        </w:tc>
        <w:tc>
          <w:tcPr>
            <w:tcW w:w="966" w:type="dxa"/>
            <w:noWrap/>
            <w:hideMark/>
          </w:tcPr>
          <w:p w14:paraId="7A30379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C233D7" w:rsidRPr="00C233D7" w14:paraId="72D69386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3128DBB0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4.3. Ostali prihodi za posebne namjene</w:t>
            </w:r>
          </w:p>
        </w:tc>
        <w:tc>
          <w:tcPr>
            <w:tcW w:w="1266" w:type="dxa"/>
            <w:noWrap/>
            <w:vAlign w:val="center"/>
            <w:hideMark/>
          </w:tcPr>
          <w:p w14:paraId="0780C8B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noWrap/>
            <w:vAlign w:val="center"/>
            <w:hideMark/>
          </w:tcPr>
          <w:p w14:paraId="72A06C1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360" w:type="dxa"/>
            <w:noWrap/>
            <w:vAlign w:val="center"/>
            <w:hideMark/>
          </w:tcPr>
          <w:p w14:paraId="0F5FB23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327" w:type="dxa"/>
            <w:noWrap/>
            <w:vAlign w:val="center"/>
            <w:hideMark/>
          </w:tcPr>
          <w:p w14:paraId="65454F4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036" w:type="dxa"/>
            <w:noWrap/>
            <w:hideMark/>
          </w:tcPr>
          <w:p w14:paraId="2EFF72CC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107,01%</w:t>
            </w:r>
          </w:p>
        </w:tc>
        <w:tc>
          <w:tcPr>
            <w:tcW w:w="966" w:type="dxa"/>
            <w:noWrap/>
            <w:hideMark/>
          </w:tcPr>
          <w:p w14:paraId="18E3B655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C233D7" w:rsidRPr="00C233D7" w14:paraId="3DD8C3DC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2CE661CF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266" w:type="dxa"/>
            <w:noWrap/>
            <w:vAlign w:val="center"/>
            <w:hideMark/>
          </w:tcPr>
          <w:p w14:paraId="1D430BD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302A993E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6D459A5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223EEC0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62F0812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3F97CE79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34D7DF54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3FDEA8D6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5.4. Pomoći za proračunske korisnike</w:t>
            </w:r>
          </w:p>
        </w:tc>
        <w:tc>
          <w:tcPr>
            <w:tcW w:w="1266" w:type="dxa"/>
            <w:noWrap/>
            <w:vAlign w:val="center"/>
            <w:hideMark/>
          </w:tcPr>
          <w:p w14:paraId="5BFFF26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noWrap/>
            <w:vAlign w:val="center"/>
            <w:hideMark/>
          </w:tcPr>
          <w:p w14:paraId="05026EE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49642F9C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23836245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025DA87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5E13B37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489F03EE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589F6BDC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 Pomoći</w:t>
            </w:r>
          </w:p>
        </w:tc>
        <w:tc>
          <w:tcPr>
            <w:tcW w:w="1266" w:type="dxa"/>
            <w:noWrap/>
            <w:vAlign w:val="center"/>
            <w:hideMark/>
          </w:tcPr>
          <w:p w14:paraId="76F9C8A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10.100,00</w:t>
            </w:r>
          </w:p>
        </w:tc>
        <w:tc>
          <w:tcPr>
            <w:tcW w:w="1266" w:type="dxa"/>
            <w:noWrap/>
            <w:vAlign w:val="center"/>
            <w:hideMark/>
          </w:tcPr>
          <w:p w14:paraId="6793F14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319B402D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2BF9D7F7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2ADEDB80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42977CE4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22E6EE57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176697C8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6.4. Donacije za proračunske korisnike</w:t>
            </w:r>
          </w:p>
        </w:tc>
        <w:tc>
          <w:tcPr>
            <w:tcW w:w="1266" w:type="dxa"/>
            <w:noWrap/>
            <w:vAlign w:val="center"/>
            <w:hideMark/>
          </w:tcPr>
          <w:p w14:paraId="55D990B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10.100,00</w:t>
            </w:r>
          </w:p>
        </w:tc>
        <w:tc>
          <w:tcPr>
            <w:tcW w:w="1266" w:type="dxa"/>
            <w:noWrap/>
            <w:vAlign w:val="center"/>
            <w:hideMark/>
          </w:tcPr>
          <w:p w14:paraId="1691E47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60" w:type="dxa"/>
            <w:noWrap/>
            <w:vAlign w:val="center"/>
            <w:hideMark/>
          </w:tcPr>
          <w:p w14:paraId="75F6B29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327" w:type="dxa"/>
            <w:noWrap/>
            <w:vAlign w:val="center"/>
            <w:hideMark/>
          </w:tcPr>
          <w:p w14:paraId="142D8939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31F5FEB0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45387B81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2C6F59C0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1052375B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Izvor 8. Namjenski prihodi od </w:t>
            </w: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zaduživanja</w:t>
            </w:r>
          </w:p>
        </w:tc>
        <w:tc>
          <w:tcPr>
            <w:tcW w:w="1266" w:type="dxa"/>
            <w:noWrap/>
            <w:vAlign w:val="center"/>
            <w:hideMark/>
          </w:tcPr>
          <w:p w14:paraId="3D2256EE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244.200,00</w:t>
            </w:r>
          </w:p>
        </w:tc>
        <w:tc>
          <w:tcPr>
            <w:tcW w:w="1266" w:type="dxa"/>
            <w:noWrap/>
            <w:vAlign w:val="center"/>
            <w:hideMark/>
          </w:tcPr>
          <w:p w14:paraId="696DBD21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noWrap/>
            <w:vAlign w:val="center"/>
            <w:hideMark/>
          </w:tcPr>
          <w:p w14:paraId="31FD7E92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7" w:type="dxa"/>
            <w:noWrap/>
            <w:vAlign w:val="center"/>
            <w:hideMark/>
          </w:tcPr>
          <w:p w14:paraId="64ED69E0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0303911E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3AE2DE1A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C233D7" w:rsidRPr="00C233D7" w14:paraId="46DA31DD" w14:textId="77777777" w:rsidTr="00C233D7">
        <w:trPr>
          <w:trHeight w:val="300"/>
        </w:trPr>
        <w:tc>
          <w:tcPr>
            <w:tcW w:w="3828" w:type="dxa"/>
            <w:noWrap/>
            <w:vAlign w:val="center"/>
            <w:hideMark/>
          </w:tcPr>
          <w:p w14:paraId="46D2DE1C" w14:textId="77777777" w:rsidR="00C233D7" w:rsidRPr="00C233D7" w:rsidRDefault="00C233D7" w:rsidP="00C233D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Izvor 8.4. Namjenski primici od zaduživanja</w:t>
            </w:r>
          </w:p>
        </w:tc>
        <w:tc>
          <w:tcPr>
            <w:tcW w:w="1266" w:type="dxa"/>
            <w:noWrap/>
            <w:vAlign w:val="center"/>
            <w:hideMark/>
          </w:tcPr>
          <w:p w14:paraId="229FBD54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244.200,00</w:t>
            </w:r>
          </w:p>
        </w:tc>
        <w:tc>
          <w:tcPr>
            <w:tcW w:w="1266" w:type="dxa"/>
            <w:noWrap/>
            <w:vAlign w:val="center"/>
            <w:hideMark/>
          </w:tcPr>
          <w:p w14:paraId="652EFB3B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noWrap/>
            <w:vAlign w:val="center"/>
            <w:hideMark/>
          </w:tcPr>
          <w:p w14:paraId="5668FDB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27" w:type="dxa"/>
            <w:noWrap/>
            <w:vAlign w:val="center"/>
            <w:hideMark/>
          </w:tcPr>
          <w:p w14:paraId="14DA5C48" w14:textId="77777777" w:rsidR="00C233D7" w:rsidRPr="00C233D7" w:rsidRDefault="00C233D7" w:rsidP="00C233D7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1812E0DE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66" w:type="dxa"/>
            <w:noWrap/>
            <w:hideMark/>
          </w:tcPr>
          <w:p w14:paraId="27496CA8" w14:textId="77777777" w:rsidR="00C233D7" w:rsidRPr="00C233D7" w:rsidRDefault="00C233D7" w:rsidP="00C233D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</w:tbl>
    <w:p w14:paraId="05C7626E" w14:textId="77777777" w:rsidR="001C07E1" w:rsidRPr="00C233D7" w:rsidRDefault="001C07E1" w:rsidP="00AA7230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11057" w:type="dxa"/>
        <w:tblInd w:w="-743" w:type="dxa"/>
        <w:tblLook w:val="04A0" w:firstRow="1" w:lastRow="0" w:firstColumn="1" w:lastColumn="0" w:noHBand="0" w:noVBand="1"/>
      </w:tblPr>
      <w:tblGrid>
        <w:gridCol w:w="5104"/>
        <w:gridCol w:w="1276"/>
        <w:gridCol w:w="1275"/>
        <w:gridCol w:w="1276"/>
        <w:gridCol w:w="1134"/>
        <w:gridCol w:w="992"/>
      </w:tblGrid>
      <w:tr w:rsidR="006576EA" w:rsidRPr="00B51BD0" w14:paraId="1FD68250" w14:textId="77777777" w:rsidTr="00F1523F">
        <w:tc>
          <w:tcPr>
            <w:tcW w:w="11057" w:type="dxa"/>
            <w:gridSpan w:val="6"/>
          </w:tcPr>
          <w:p w14:paraId="235C1D23" w14:textId="494E1A45" w:rsidR="006576EA" w:rsidRDefault="006576EA" w:rsidP="00F1523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351756">
              <w:rPr>
                <w:rFonts w:ascii="Times New Roman" w:hAnsi="Times New Roman" w:cs="Times New Roman"/>
              </w:rPr>
              <w:t>VIŠAK</w:t>
            </w:r>
            <w:r w:rsidR="00F1523F">
              <w:rPr>
                <w:rFonts w:ascii="Times New Roman" w:hAnsi="Times New Roman" w:cs="Times New Roman"/>
              </w:rPr>
              <w:t xml:space="preserve"> </w:t>
            </w:r>
            <w:r w:rsidRPr="00351756">
              <w:rPr>
                <w:rFonts w:ascii="Times New Roman" w:hAnsi="Times New Roman" w:cs="Times New Roman"/>
              </w:rPr>
              <w:t xml:space="preserve"> PRIHODA KORIŠTEN ZA POKRIĆE RASHODA</w:t>
            </w:r>
          </w:p>
        </w:tc>
      </w:tr>
      <w:tr w:rsidR="006576EA" w:rsidRPr="00B51BD0" w14:paraId="6761C15E" w14:textId="77777777" w:rsidTr="00F1523F">
        <w:tc>
          <w:tcPr>
            <w:tcW w:w="5104" w:type="dxa"/>
          </w:tcPr>
          <w:p w14:paraId="0351EC31" w14:textId="77777777" w:rsidR="006576EA" w:rsidRPr="00F1523F" w:rsidRDefault="006576EA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Višak prihoda  prethodne godine izvor 3.2</w:t>
            </w:r>
          </w:p>
        </w:tc>
        <w:tc>
          <w:tcPr>
            <w:tcW w:w="1276" w:type="dxa"/>
          </w:tcPr>
          <w:p w14:paraId="78DEBEF5" w14:textId="7BE04BBA" w:rsidR="006576EA" w:rsidRPr="00F1523F" w:rsidRDefault="006576EA" w:rsidP="006576EA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4.724,44</w:t>
            </w:r>
          </w:p>
        </w:tc>
        <w:tc>
          <w:tcPr>
            <w:tcW w:w="1275" w:type="dxa"/>
          </w:tcPr>
          <w:p w14:paraId="1450AED3" w14:textId="3B67FF94" w:rsidR="006576EA" w:rsidRPr="00F1523F" w:rsidRDefault="006576EA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12.064,79</w:t>
            </w:r>
          </w:p>
        </w:tc>
        <w:tc>
          <w:tcPr>
            <w:tcW w:w="1276" w:type="dxa"/>
          </w:tcPr>
          <w:p w14:paraId="764F9BC2" w14:textId="7FE1BFBA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12.064,79</w:t>
            </w:r>
          </w:p>
        </w:tc>
        <w:tc>
          <w:tcPr>
            <w:tcW w:w="1134" w:type="dxa"/>
          </w:tcPr>
          <w:p w14:paraId="671749C6" w14:textId="2CB9AD18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255,37</w:t>
            </w:r>
          </w:p>
        </w:tc>
        <w:tc>
          <w:tcPr>
            <w:tcW w:w="992" w:type="dxa"/>
          </w:tcPr>
          <w:p w14:paraId="03762B24" w14:textId="336ABBF9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255,37</w:t>
            </w:r>
          </w:p>
        </w:tc>
      </w:tr>
      <w:tr w:rsidR="006576EA" w:rsidRPr="00B51BD0" w14:paraId="6A9E8AFB" w14:textId="77777777" w:rsidTr="00F1523F">
        <w:tc>
          <w:tcPr>
            <w:tcW w:w="5104" w:type="dxa"/>
          </w:tcPr>
          <w:p w14:paraId="2C442351" w14:textId="77777777" w:rsidR="006576EA" w:rsidRPr="00F1523F" w:rsidRDefault="006576EA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Višak prihoda za pokriće rashoda</w:t>
            </w:r>
          </w:p>
        </w:tc>
        <w:tc>
          <w:tcPr>
            <w:tcW w:w="1276" w:type="dxa"/>
          </w:tcPr>
          <w:p w14:paraId="4D0BB10B" w14:textId="77777777" w:rsidR="006576EA" w:rsidRPr="00F1523F" w:rsidRDefault="006576EA" w:rsidP="00C45888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</w:tcPr>
          <w:p w14:paraId="5493CBEF" w14:textId="77777777" w:rsidR="006576EA" w:rsidRPr="00F1523F" w:rsidRDefault="006576EA" w:rsidP="00C45888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</w:tcPr>
          <w:p w14:paraId="450380F7" w14:textId="77777777" w:rsidR="006576EA" w:rsidRPr="00F1523F" w:rsidRDefault="006576EA" w:rsidP="00C45888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</w:tcPr>
          <w:p w14:paraId="32776836" w14:textId="77777777" w:rsidR="006576EA" w:rsidRPr="00F1523F" w:rsidRDefault="006576EA" w:rsidP="00C45888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992" w:type="dxa"/>
          </w:tcPr>
          <w:p w14:paraId="29E5A959" w14:textId="1EF06435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6576EA" w:rsidRPr="00B51BD0" w14:paraId="4AA72079" w14:textId="77777777" w:rsidTr="00F1523F">
        <w:tc>
          <w:tcPr>
            <w:tcW w:w="5104" w:type="dxa"/>
          </w:tcPr>
          <w:p w14:paraId="5F469C3E" w14:textId="77777777" w:rsidR="006576EA" w:rsidRPr="00F1523F" w:rsidRDefault="006576EA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Višak prihoda  izvještajne godine- Izvor 3.2</w:t>
            </w:r>
          </w:p>
        </w:tc>
        <w:tc>
          <w:tcPr>
            <w:tcW w:w="1276" w:type="dxa"/>
          </w:tcPr>
          <w:p w14:paraId="32E4E74B" w14:textId="5A7D5954" w:rsidR="006576EA" w:rsidRPr="00F1523F" w:rsidRDefault="006576EA" w:rsidP="006576EA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7.340,35</w:t>
            </w:r>
          </w:p>
        </w:tc>
        <w:tc>
          <w:tcPr>
            <w:tcW w:w="1275" w:type="dxa"/>
          </w:tcPr>
          <w:p w14:paraId="1289E9E3" w14:textId="4F88ABB2" w:rsidR="006576EA" w:rsidRPr="00F1523F" w:rsidRDefault="00C45888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12.064,79</w:t>
            </w:r>
          </w:p>
        </w:tc>
        <w:tc>
          <w:tcPr>
            <w:tcW w:w="1276" w:type="dxa"/>
          </w:tcPr>
          <w:p w14:paraId="4FDE6170" w14:textId="163FB7E8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12.479,64</w:t>
            </w:r>
          </w:p>
        </w:tc>
        <w:tc>
          <w:tcPr>
            <w:tcW w:w="1134" w:type="dxa"/>
          </w:tcPr>
          <w:p w14:paraId="214CD377" w14:textId="1181962B" w:rsidR="006576EA" w:rsidRPr="00F1523F" w:rsidRDefault="00F1523F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170,01</w:t>
            </w:r>
          </w:p>
        </w:tc>
        <w:tc>
          <w:tcPr>
            <w:tcW w:w="992" w:type="dxa"/>
          </w:tcPr>
          <w:p w14:paraId="1B59448A" w14:textId="20BA1CD2" w:rsidR="006576EA" w:rsidRPr="00F1523F" w:rsidRDefault="00F1523F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F1523F">
              <w:rPr>
                <w:rFonts w:ascii="Times New Roman" w:hAnsi="Times New Roman" w:cs="Times New Roman"/>
                <w:b/>
              </w:rPr>
              <w:t>170,01</w:t>
            </w:r>
          </w:p>
        </w:tc>
      </w:tr>
      <w:tr w:rsidR="00875431" w:rsidRPr="00B51BD0" w14:paraId="235CFFC8" w14:textId="77777777" w:rsidTr="00F1523F">
        <w:tc>
          <w:tcPr>
            <w:tcW w:w="5104" w:type="dxa"/>
          </w:tcPr>
          <w:p w14:paraId="7CE5703E" w14:textId="4147CCD1" w:rsidR="00875431" w:rsidRPr="00F1523F" w:rsidRDefault="00875431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Višak prihoda izvještajne godine – izvor 6</w:t>
            </w:r>
          </w:p>
        </w:tc>
        <w:tc>
          <w:tcPr>
            <w:tcW w:w="1276" w:type="dxa"/>
          </w:tcPr>
          <w:p w14:paraId="090FFA0E" w14:textId="7A893565" w:rsidR="00875431" w:rsidRPr="00F1523F" w:rsidRDefault="00875431" w:rsidP="006576EA">
            <w:pPr>
              <w:pStyle w:val="Bezproreda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</w:tcPr>
          <w:p w14:paraId="44F8A48E" w14:textId="7CD25F8B" w:rsidR="00875431" w:rsidRPr="00F1523F" w:rsidRDefault="00875431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</w:tcPr>
          <w:p w14:paraId="11CDC1A4" w14:textId="2DA86171" w:rsidR="00875431" w:rsidRPr="00F1523F" w:rsidRDefault="00875431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800,00</w:t>
            </w:r>
          </w:p>
        </w:tc>
        <w:tc>
          <w:tcPr>
            <w:tcW w:w="1134" w:type="dxa"/>
          </w:tcPr>
          <w:p w14:paraId="1D8A7331" w14:textId="77777777" w:rsidR="00875431" w:rsidRPr="00F1523F" w:rsidRDefault="00875431" w:rsidP="006576E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371E4A2" w14:textId="77777777" w:rsidR="00875431" w:rsidRPr="00F1523F" w:rsidRDefault="00875431" w:rsidP="006576EA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</w:tr>
    </w:tbl>
    <w:p w14:paraId="31ED38D8" w14:textId="77777777" w:rsidR="00C45888" w:rsidRDefault="00C45888" w:rsidP="006576EA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D17CC0F" w14:textId="7D6E79AC" w:rsidR="001C07E1" w:rsidRDefault="006576EA" w:rsidP="006576EA">
      <w:pPr>
        <w:pStyle w:val="Bezproreda"/>
        <w:tabs>
          <w:tab w:val="left" w:pos="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23EB40C" w14:textId="77777777" w:rsidR="006576EA" w:rsidRDefault="006576EA" w:rsidP="006576EA">
      <w:pPr>
        <w:pStyle w:val="Bezproreda"/>
        <w:tabs>
          <w:tab w:val="left" w:pos="780"/>
        </w:tabs>
        <w:rPr>
          <w:rFonts w:ascii="Times New Roman" w:hAnsi="Times New Roman" w:cs="Times New Roman"/>
          <w:b/>
          <w:sz w:val="28"/>
          <w:szCs w:val="28"/>
        </w:rPr>
      </w:pPr>
    </w:p>
    <w:p w14:paraId="52DF064F" w14:textId="6C0FA7D0" w:rsidR="005D20C6" w:rsidRDefault="00875431" w:rsidP="00746A2A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-8-</w:t>
      </w:r>
    </w:p>
    <w:p w14:paraId="1853905B" w14:textId="77777777" w:rsidR="00746A2A" w:rsidRDefault="00746A2A" w:rsidP="00746A2A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48DF689" w14:textId="2FA5C0BD" w:rsidR="00E53404" w:rsidRDefault="00B51BD0" w:rsidP="00B51BD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B51BD0">
        <w:rPr>
          <w:rFonts w:ascii="Times New Roman" w:hAnsi="Times New Roman" w:cs="Times New Roman"/>
          <w:sz w:val="28"/>
          <w:szCs w:val="28"/>
        </w:rPr>
        <w:t>Izvještaj o prihodima i rash</w:t>
      </w:r>
      <w:r w:rsidR="005D20C6">
        <w:rPr>
          <w:rFonts w:ascii="Times New Roman" w:hAnsi="Times New Roman" w:cs="Times New Roman"/>
          <w:sz w:val="28"/>
          <w:szCs w:val="28"/>
        </w:rPr>
        <w:t xml:space="preserve">odima </w:t>
      </w:r>
      <w:r w:rsidR="00875431">
        <w:rPr>
          <w:rFonts w:ascii="Times New Roman" w:hAnsi="Times New Roman" w:cs="Times New Roman"/>
          <w:sz w:val="28"/>
          <w:szCs w:val="28"/>
        </w:rPr>
        <w:t xml:space="preserve"> poslovanja </w:t>
      </w:r>
      <w:r w:rsidR="005D20C6">
        <w:rPr>
          <w:rFonts w:ascii="Times New Roman" w:hAnsi="Times New Roman" w:cs="Times New Roman"/>
          <w:sz w:val="28"/>
          <w:szCs w:val="28"/>
        </w:rPr>
        <w:t>prema izvorima sadrži prik</w:t>
      </w:r>
      <w:r w:rsidRPr="00B51BD0">
        <w:rPr>
          <w:rFonts w:ascii="Times New Roman" w:hAnsi="Times New Roman" w:cs="Times New Roman"/>
          <w:sz w:val="28"/>
          <w:szCs w:val="28"/>
        </w:rPr>
        <w:t>az prihoda i rashoda prema izvorima financirana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20C6">
        <w:rPr>
          <w:rFonts w:ascii="Times New Roman" w:hAnsi="Times New Roman" w:cs="Times New Roman"/>
          <w:sz w:val="28"/>
          <w:szCs w:val="28"/>
        </w:rPr>
        <w:t xml:space="preserve">Međutim kako bi se i kroz planiranje i izvršenje financijskih planova jasno razlikovalo što je financirano iz tekućih prihoda, a što iz prenesenog rezultata (viška) uz izvore financiranja dodali smo i </w:t>
      </w:r>
      <w:proofErr w:type="spellStart"/>
      <w:r w:rsidR="005D20C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D20C6">
        <w:rPr>
          <w:rFonts w:ascii="Times New Roman" w:hAnsi="Times New Roman" w:cs="Times New Roman"/>
          <w:sz w:val="28"/>
          <w:szCs w:val="28"/>
        </w:rPr>
        <w:t xml:space="preserve"> rezultat. Na taj način zadovoljili smo načelo uravnoteženosti, propisano čl. 10. Zakona o proračunu i financijske planove pravilno iskazali po izvorima financiranja.</w:t>
      </w:r>
    </w:p>
    <w:p w14:paraId="58D5B598" w14:textId="77777777" w:rsidR="00746A2A" w:rsidRPr="00B51BD0" w:rsidRDefault="00746A2A" w:rsidP="00B51BD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4B3DC2F" w14:textId="77777777" w:rsidR="00D57377" w:rsidRDefault="00D57377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312B0D9" w14:textId="56B44D65" w:rsidR="00D57377" w:rsidRDefault="00D57377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RASHODIMA PREMA FUNKCIJSKOJ KLASIFIKACIJI</w:t>
      </w:r>
    </w:p>
    <w:p w14:paraId="1F2DB7CB" w14:textId="77777777" w:rsidR="00D57377" w:rsidRDefault="00D57377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97CB3E6" w14:textId="77777777" w:rsidR="004A1A06" w:rsidRDefault="004A1A06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0E2226" w14:textId="1E5A12BF" w:rsidR="004A1A06" w:rsidRDefault="004A1A06" w:rsidP="004A1A06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rashodima prema funkcijskoj klasifikaciji sadrži prikaz rashoda prema funkcijskoj klasifikaciji. Pravilnik o proračunskim klasifikacijama (Nar.</w:t>
      </w:r>
      <w:r w:rsidR="006F6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nov., br.4/24). u čl.2. propisuje kako se brojčana oznaka fin</w:t>
      </w:r>
      <w:r w:rsidR="0076459F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>cij</w:t>
      </w:r>
      <w:r w:rsidR="0076459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ke klasifikacije veže uz rashode iskazane prema računima ekonomske klasifikacije svake aktivnosti ili projekta.  kako Javna vatrogasna postrojba u svom djelovanje ima samo jednu</w:t>
      </w:r>
      <w:r w:rsidR="00113339">
        <w:rPr>
          <w:rFonts w:ascii="Times New Roman" w:hAnsi="Times New Roman" w:cs="Times New Roman"/>
          <w:sz w:val="28"/>
          <w:szCs w:val="28"/>
        </w:rPr>
        <w:t xml:space="preserve"> funkcijsku klasifikaciju – Usluge protupožarne zaštite. u narednoj tabali imamo samo jedan  podatak, koji odgovara ukupnim rashodima  Postrojbe.</w:t>
      </w:r>
    </w:p>
    <w:p w14:paraId="19A46D73" w14:textId="77777777" w:rsidR="00746A2A" w:rsidRDefault="00746A2A" w:rsidP="004A1A0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782" w:type="dxa"/>
        <w:tblInd w:w="-318" w:type="dxa"/>
        <w:tblLook w:val="04A0" w:firstRow="1" w:lastRow="0" w:firstColumn="1" w:lastColumn="0" w:noHBand="0" w:noVBand="1"/>
      </w:tblPr>
      <w:tblGrid>
        <w:gridCol w:w="2978"/>
        <w:gridCol w:w="1266"/>
        <w:gridCol w:w="1266"/>
        <w:gridCol w:w="1266"/>
        <w:gridCol w:w="1266"/>
        <w:gridCol w:w="866"/>
        <w:gridCol w:w="1022"/>
      </w:tblGrid>
      <w:tr w:rsidR="00EA44AE" w:rsidRPr="00EA44AE" w14:paraId="4516A2D6" w14:textId="77777777" w:rsidTr="00EA44AE">
        <w:trPr>
          <w:trHeight w:val="300"/>
        </w:trPr>
        <w:tc>
          <w:tcPr>
            <w:tcW w:w="2978" w:type="dxa"/>
            <w:noWrap/>
            <w:vAlign w:val="center"/>
            <w:hideMark/>
          </w:tcPr>
          <w:p w14:paraId="6C6E365A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234" w:type="dxa"/>
            <w:noWrap/>
            <w:vAlign w:val="center"/>
            <w:hideMark/>
          </w:tcPr>
          <w:p w14:paraId="5B28071D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234" w:type="dxa"/>
            <w:noWrap/>
            <w:vAlign w:val="center"/>
            <w:hideMark/>
          </w:tcPr>
          <w:p w14:paraId="29A5DD72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234" w:type="dxa"/>
            <w:noWrap/>
            <w:vAlign w:val="center"/>
            <w:hideMark/>
          </w:tcPr>
          <w:p w14:paraId="5B2D2632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234" w:type="dxa"/>
            <w:noWrap/>
            <w:vAlign w:val="center"/>
            <w:hideMark/>
          </w:tcPr>
          <w:p w14:paraId="6E1F2673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</w:t>
            </w:r>
          </w:p>
        </w:tc>
        <w:tc>
          <w:tcPr>
            <w:tcW w:w="846" w:type="dxa"/>
            <w:noWrap/>
            <w:vAlign w:val="center"/>
            <w:hideMark/>
          </w:tcPr>
          <w:p w14:paraId="3C130542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022" w:type="dxa"/>
            <w:noWrap/>
            <w:vAlign w:val="center"/>
            <w:hideMark/>
          </w:tcPr>
          <w:p w14:paraId="40BD9C01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4/3</w:t>
            </w:r>
          </w:p>
        </w:tc>
      </w:tr>
      <w:tr w:rsidR="00EA44AE" w:rsidRPr="00EA44AE" w14:paraId="2A7E678D" w14:textId="77777777" w:rsidTr="00EA44AE">
        <w:trPr>
          <w:trHeight w:val="300"/>
        </w:trPr>
        <w:tc>
          <w:tcPr>
            <w:tcW w:w="2978" w:type="dxa"/>
            <w:noWrap/>
            <w:vAlign w:val="center"/>
            <w:hideMark/>
          </w:tcPr>
          <w:p w14:paraId="1071C8BB" w14:textId="1836EC6F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4" w:type="dxa"/>
            <w:noWrap/>
            <w:vAlign w:val="center"/>
            <w:hideMark/>
          </w:tcPr>
          <w:p w14:paraId="782E715E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4" w:type="dxa"/>
            <w:noWrap/>
            <w:vAlign w:val="center"/>
            <w:hideMark/>
          </w:tcPr>
          <w:p w14:paraId="28C00F46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4" w:type="dxa"/>
            <w:noWrap/>
            <w:vAlign w:val="center"/>
            <w:hideMark/>
          </w:tcPr>
          <w:p w14:paraId="6B16A819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4" w:type="dxa"/>
            <w:noWrap/>
            <w:vAlign w:val="center"/>
            <w:hideMark/>
          </w:tcPr>
          <w:p w14:paraId="5F3BC5B6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46" w:type="dxa"/>
            <w:noWrap/>
            <w:vAlign w:val="center"/>
            <w:hideMark/>
          </w:tcPr>
          <w:p w14:paraId="131CB00F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2" w:type="dxa"/>
            <w:noWrap/>
            <w:vAlign w:val="center"/>
            <w:hideMark/>
          </w:tcPr>
          <w:p w14:paraId="4E9AFA3A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A44AE" w:rsidRPr="00EA44AE" w14:paraId="4D73221F" w14:textId="77777777" w:rsidTr="00EA44AE">
        <w:trPr>
          <w:trHeight w:val="300"/>
        </w:trPr>
        <w:tc>
          <w:tcPr>
            <w:tcW w:w="2978" w:type="dxa"/>
            <w:noWrap/>
            <w:hideMark/>
          </w:tcPr>
          <w:p w14:paraId="4E5755F4" w14:textId="77777777" w:rsidR="00EA44AE" w:rsidRPr="00EA44AE" w:rsidRDefault="00EA44AE" w:rsidP="00EA44A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234" w:type="dxa"/>
            <w:noWrap/>
            <w:vAlign w:val="center"/>
            <w:hideMark/>
          </w:tcPr>
          <w:p w14:paraId="0789414B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1.327.396,30</w:t>
            </w:r>
          </w:p>
        </w:tc>
        <w:tc>
          <w:tcPr>
            <w:tcW w:w="1234" w:type="dxa"/>
            <w:noWrap/>
            <w:vAlign w:val="center"/>
            <w:hideMark/>
          </w:tcPr>
          <w:p w14:paraId="379A90F2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1.118.399,35</w:t>
            </w:r>
          </w:p>
        </w:tc>
        <w:tc>
          <w:tcPr>
            <w:tcW w:w="1234" w:type="dxa"/>
            <w:noWrap/>
            <w:vAlign w:val="center"/>
            <w:hideMark/>
          </w:tcPr>
          <w:p w14:paraId="3FB75E51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1.321.384,21</w:t>
            </w:r>
          </w:p>
        </w:tc>
        <w:tc>
          <w:tcPr>
            <w:tcW w:w="1234" w:type="dxa"/>
            <w:noWrap/>
            <w:vAlign w:val="center"/>
            <w:hideMark/>
          </w:tcPr>
          <w:p w14:paraId="78AA316C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1.190.404,56</w:t>
            </w:r>
          </w:p>
        </w:tc>
        <w:tc>
          <w:tcPr>
            <w:tcW w:w="846" w:type="dxa"/>
            <w:noWrap/>
            <w:vAlign w:val="center"/>
            <w:hideMark/>
          </w:tcPr>
          <w:p w14:paraId="343700EF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89,68%</w:t>
            </w:r>
          </w:p>
        </w:tc>
        <w:tc>
          <w:tcPr>
            <w:tcW w:w="1022" w:type="dxa"/>
            <w:noWrap/>
            <w:vAlign w:val="center"/>
            <w:hideMark/>
          </w:tcPr>
          <w:p w14:paraId="3D2B9EAD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90,09%</w:t>
            </w:r>
          </w:p>
        </w:tc>
      </w:tr>
      <w:tr w:rsidR="00EA44AE" w:rsidRPr="00EA44AE" w14:paraId="2D7A3783" w14:textId="77777777" w:rsidTr="00EA44AE">
        <w:trPr>
          <w:trHeight w:val="300"/>
        </w:trPr>
        <w:tc>
          <w:tcPr>
            <w:tcW w:w="2978" w:type="dxa"/>
            <w:noWrap/>
            <w:hideMark/>
          </w:tcPr>
          <w:p w14:paraId="54F0DFD8" w14:textId="77777777" w:rsidR="00EA44AE" w:rsidRPr="00EA44AE" w:rsidRDefault="00EA44AE" w:rsidP="00EA44A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234" w:type="dxa"/>
            <w:noWrap/>
            <w:vAlign w:val="center"/>
            <w:hideMark/>
          </w:tcPr>
          <w:p w14:paraId="37C8407B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1.327.396,30</w:t>
            </w:r>
          </w:p>
        </w:tc>
        <w:tc>
          <w:tcPr>
            <w:tcW w:w="1234" w:type="dxa"/>
            <w:noWrap/>
            <w:vAlign w:val="center"/>
            <w:hideMark/>
          </w:tcPr>
          <w:p w14:paraId="185E6E73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1.118.399,35</w:t>
            </w:r>
          </w:p>
        </w:tc>
        <w:tc>
          <w:tcPr>
            <w:tcW w:w="1234" w:type="dxa"/>
            <w:noWrap/>
            <w:vAlign w:val="center"/>
            <w:hideMark/>
          </w:tcPr>
          <w:p w14:paraId="79BFFB5B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1.321.384,21</w:t>
            </w:r>
          </w:p>
        </w:tc>
        <w:tc>
          <w:tcPr>
            <w:tcW w:w="1234" w:type="dxa"/>
            <w:noWrap/>
            <w:vAlign w:val="center"/>
            <w:hideMark/>
          </w:tcPr>
          <w:p w14:paraId="551ABA22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1.190.404,56</w:t>
            </w:r>
          </w:p>
        </w:tc>
        <w:tc>
          <w:tcPr>
            <w:tcW w:w="846" w:type="dxa"/>
            <w:noWrap/>
            <w:vAlign w:val="center"/>
            <w:hideMark/>
          </w:tcPr>
          <w:p w14:paraId="7D638FBA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89,68%</w:t>
            </w:r>
          </w:p>
        </w:tc>
        <w:tc>
          <w:tcPr>
            <w:tcW w:w="1022" w:type="dxa"/>
            <w:noWrap/>
            <w:vAlign w:val="center"/>
            <w:hideMark/>
          </w:tcPr>
          <w:p w14:paraId="6F8DC98E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90,09%</w:t>
            </w:r>
          </w:p>
        </w:tc>
      </w:tr>
      <w:tr w:rsidR="00EA44AE" w:rsidRPr="00EA44AE" w14:paraId="24FFFD8C" w14:textId="77777777" w:rsidTr="00EA44AE">
        <w:trPr>
          <w:trHeight w:val="300"/>
        </w:trPr>
        <w:tc>
          <w:tcPr>
            <w:tcW w:w="2978" w:type="dxa"/>
            <w:noWrap/>
            <w:hideMark/>
          </w:tcPr>
          <w:p w14:paraId="44B057DC" w14:textId="77777777" w:rsidR="00EA44AE" w:rsidRPr="00EA44AE" w:rsidRDefault="00EA44AE" w:rsidP="00EA44A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234" w:type="dxa"/>
            <w:noWrap/>
            <w:vAlign w:val="center"/>
            <w:hideMark/>
          </w:tcPr>
          <w:p w14:paraId="3C276066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1.327.396,30</w:t>
            </w:r>
          </w:p>
        </w:tc>
        <w:tc>
          <w:tcPr>
            <w:tcW w:w="1234" w:type="dxa"/>
            <w:noWrap/>
            <w:vAlign w:val="center"/>
            <w:hideMark/>
          </w:tcPr>
          <w:p w14:paraId="4DA9FBDA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1.118.399,35</w:t>
            </w:r>
          </w:p>
        </w:tc>
        <w:tc>
          <w:tcPr>
            <w:tcW w:w="1234" w:type="dxa"/>
            <w:noWrap/>
            <w:vAlign w:val="center"/>
            <w:hideMark/>
          </w:tcPr>
          <w:p w14:paraId="0D2FA906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1.321.384,21</w:t>
            </w:r>
          </w:p>
        </w:tc>
        <w:tc>
          <w:tcPr>
            <w:tcW w:w="1234" w:type="dxa"/>
            <w:noWrap/>
            <w:vAlign w:val="center"/>
            <w:hideMark/>
          </w:tcPr>
          <w:p w14:paraId="787401F3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1.190.404,56</w:t>
            </w:r>
          </w:p>
        </w:tc>
        <w:tc>
          <w:tcPr>
            <w:tcW w:w="846" w:type="dxa"/>
            <w:noWrap/>
            <w:vAlign w:val="center"/>
            <w:hideMark/>
          </w:tcPr>
          <w:p w14:paraId="157BBF04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89,68%</w:t>
            </w:r>
          </w:p>
        </w:tc>
        <w:tc>
          <w:tcPr>
            <w:tcW w:w="1022" w:type="dxa"/>
            <w:noWrap/>
            <w:vAlign w:val="center"/>
            <w:hideMark/>
          </w:tcPr>
          <w:p w14:paraId="475BBA1E" w14:textId="77777777" w:rsidR="00EA44AE" w:rsidRPr="00EA44AE" w:rsidRDefault="00EA44AE" w:rsidP="00EA44A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4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90,09%</w:t>
            </w:r>
          </w:p>
        </w:tc>
      </w:tr>
    </w:tbl>
    <w:p w14:paraId="54079776" w14:textId="77777777" w:rsidR="00746A2A" w:rsidRDefault="00746A2A" w:rsidP="004A1A0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54759AF" w14:textId="77777777" w:rsidR="00D57377" w:rsidRPr="004C4F96" w:rsidRDefault="00D57377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D611E" w14:textId="1E48CC75" w:rsidR="00113339" w:rsidRPr="004C4F96" w:rsidRDefault="004C4F96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96">
        <w:rPr>
          <w:rFonts w:ascii="Times New Roman" w:hAnsi="Times New Roman" w:cs="Times New Roman"/>
          <w:b/>
          <w:sz w:val="28"/>
          <w:szCs w:val="28"/>
        </w:rPr>
        <w:t>AD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C4F96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A04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F96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C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339" w:rsidRPr="004C4F96">
        <w:rPr>
          <w:rFonts w:ascii="Times New Roman" w:hAnsi="Times New Roman" w:cs="Times New Roman"/>
          <w:b/>
          <w:sz w:val="28"/>
          <w:szCs w:val="28"/>
        </w:rPr>
        <w:t>RAČUN FINANCIRANJE</w:t>
      </w:r>
    </w:p>
    <w:p w14:paraId="56D3B9B4" w14:textId="77777777" w:rsidR="00113339" w:rsidRPr="004C4F96" w:rsidRDefault="00113339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E12A8" w14:textId="77777777" w:rsidR="00113339" w:rsidRDefault="00113339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6E9B83" w14:textId="77777777" w:rsidR="00113339" w:rsidRDefault="00113339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350BA51" w14:textId="5AB1F3F4" w:rsidR="00113339" w:rsidRDefault="00113339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Račun financiranja sadrži prikaz primitaka i izdataka i  iskazuje se prama proračunskim klasifikacijama u izvještajima:</w:t>
      </w:r>
    </w:p>
    <w:p w14:paraId="691132EC" w14:textId="77777777" w:rsidR="001D1FA3" w:rsidRDefault="001D1FA3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A66F42A" w14:textId="10B6D485" w:rsidR="00113339" w:rsidRDefault="00113339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-Izvještaj računa financiranja prema ekonomskoj  klasifikaciji</w:t>
      </w:r>
      <w:r w:rsidR="00B812B3">
        <w:rPr>
          <w:rFonts w:ascii="Times New Roman" w:hAnsi="Times New Roman" w:cs="Times New Roman"/>
          <w:sz w:val="28"/>
          <w:szCs w:val="28"/>
        </w:rPr>
        <w:t>:</w:t>
      </w:r>
    </w:p>
    <w:p w14:paraId="458847C2" w14:textId="11C91358" w:rsidR="009230EE" w:rsidRDefault="009230EE" w:rsidP="009230E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-9-</w:t>
      </w:r>
    </w:p>
    <w:p w14:paraId="1835B286" w14:textId="77777777" w:rsidR="009230EE" w:rsidRDefault="009230EE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0974" w:type="dxa"/>
        <w:tblInd w:w="-601" w:type="dxa"/>
        <w:tblLook w:val="04A0" w:firstRow="1" w:lastRow="0" w:firstColumn="1" w:lastColumn="0" w:noHBand="0" w:noVBand="1"/>
      </w:tblPr>
      <w:tblGrid>
        <w:gridCol w:w="4537"/>
        <w:gridCol w:w="1130"/>
        <w:gridCol w:w="1016"/>
        <w:gridCol w:w="1160"/>
        <w:gridCol w:w="1141"/>
        <w:gridCol w:w="993"/>
        <w:gridCol w:w="997"/>
      </w:tblGrid>
      <w:tr w:rsidR="009230EE" w:rsidRPr="009230EE" w14:paraId="377DE5DF" w14:textId="77777777" w:rsidTr="009230EE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68493402" w14:textId="034C989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</w:t>
            </w: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un/Opis</w:t>
            </w:r>
          </w:p>
        </w:tc>
        <w:tc>
          <w:tcPr>
            <w:tcW w:w="1130" w:type="dxa"/>
            <w:noWrap/>
            <w:vAlign w:val="center"/>
            <w:hideMark/>
          </w:tcPr>
          <w:p w14:paraId="5B5D1A39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016" w:type="dxa"/>
            <w:noWrap/>
            <w:vAlign w:val="center"/>
            <w:hideMark/>
          </w:tcPr>
          <w:p w14:paraId="1DC3F352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160" w:type="dxa"/>
            <w:noWrap/>
            <w:vAlign w:val="center"/>
            <w:hideMark/>
          </w:tcPr>
          <w:p w14:paraId="015A58E0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141" w:type="dxa"/>
            <w:noWrap/>
            <w:vAlign w:val="center"/>
            <w:hideMark/>
          </w:tcPr>
          <w:p w14:paraId="021032D1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</w:t>
            </w:r>
          </w:p>
        </w:tc>
        <w:tc>
          <w:tcPr>
            <w:tcW w:w="993" w:type="dxa"/>
            <w:noWrap/>
            <w:vAlign w:val="center"/>
            <w:hideMark/>
          </w:tcPr>
          <w:p w14:paraId="427A1A33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7" w:type="dxa"/>
            <w:noWrap/>
            <w:vAlign w:val="center"/>
            <w:hideMark/>
          </w:tcPr>
          <w:p w14:paraId="614BE430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4/3</w:t>
            </w:r>
          </w:p>
        </w:tc>
      </w:tr>
      <w:tr w:rsidR="009230EE" w:rsidRPr="009230EE" w14:paraId="699C5931" w14:textId="77777777" w:rsidTr="009230EE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73E86D15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RAČUN ZADUŽIVANJA FINANCIRANJA</w:t>
            </w:r>
          </w:p>
        </w:tc>
        <w:tc>
          <w:tcPr>
            <w:tcW w:w="1130" w:type="dxa"/>
            <w:noWrap/>
            <w:vAlign w:val="center"/>
            <w:hideMark/>
          </w:tcPr>
          <w:p w14:paraId="36ADAD00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6" w:type="dxa"/>
            <w:noWrap/>
            <w:vAlign w:val="center"/>
            <w:hideMark/>
          </w:tcPr>
          <w:p w14:paraId="3FD2A1E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noWrap/>
            <w:vAlign w:val="center"/>
            <w:hideMark/>
          </w:tcPr>
          <w:p w14:paraId="0E9A1102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noWrap/>
            <w:vAlign w:val="center"/>
            <w:hideMark/>
          </w:tcPr>
          <w:p w14:paraId="478B3764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14:paraId="42D8E3F9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7" w:type="dxa"/>
            <w:noWrap/>
            <w:vAlign w:val="center"/>
            <w:hideMark/>
          </w:tcPr>
          <w:p w14:paraId="15AEAFD6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230EE" w:rsidRPr="009230EE" w14:paraId="624394E7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2E168C5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130" w:type="dxa"/>
            <w:noWrap/>
            <w:vAlign w:val="center"/>
            <w:hideMark/>
          </w:tcPr>
          <w:p w14:paraId="3212896C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244.200,00</w:t>
            </w:r>
          </w:p>
        </w:tc>
        <w:tc>
          <w:tcPr>
            <w:tcW w:w="1016" w:type="dxa"/>
            <w:noWrap/>
            <w:vAlign w:val="center"/>
            <w:hideMark/>
          </w:tcPr>
          <w:p w14:paraId="0C2EC755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noWrap/>
            <w:vAlign w:val="center"/>
            <w:hideMark/>
          </w:tcPr>
          <w:p w14:paraId="79A1CC36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1" w:type="dxa"/>
            <w:noWrap/>
            <w:vAlign w:val="center"/>
            <w:hideMark/>
          </w:tcPr>
          <w:p w14:paraId="4F2426A2" w14:textId="2C86ECD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8EAE7CC" w14:textId="0DB76058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26CB59DF" w14:textId="4EF7D414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30EE" w:rsidRPr="009230EE" w14:paraId="41FFD002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55B45A6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84 Primici od zaduživanja</w:t>
            </w:r>
          </w:p>
        </w:tc>
        <w:tc>
          <w:tcPr>
            <w:tcW w:w="1130" w:type="dxa"/>
            <w:noWrap/>
            <w:vAlign w:val="center"/>
            <w:hideMark/>
          </w:tcPr>
          <w:p w14:paraId="02FCFE42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244.200,00</w:t>
            </w:r>
          </w:p>
        </w:tc>
        <w:tc>
          <w:tcPr>
            <w:tcW w:w="1016" w:type="dxa"/>
            <w:noWrap/>
            <w:vAlign w:val="center"/>
            <w:hideMark/>
          </w:tcPr>
          <w:p w14:paraId="3EB2DF7A" w14:textId="4F38C3FB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6F341952" w14:textId="4FC356C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3CBC5301" w14:textId="13E55EB9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FC91CB7" w14:textId="148FE161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15F59AC" w14:textId="6EC5FF1B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688CE5EF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0DDBC33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844 Primljeni krediti i zajmovi od kreditnih i ostalih financijskih institucija izvan javnog sektora</w:t>
            </w:r>
          </w:p>
        </w:tc>
        <w:tc>
          <w:tcPr>
            <w:tcW w:w="1130" w:type="dxa"/>
            <w:noWrap/>
            <w:vAlign w:val="center"/>
            <w:hideMark/>
          </w:tcPr>
          <w:p w14:paraId="42DD7FF5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244.200,00</w:t>
            </w:r>
          </w:p>
        </w:tc>
        <w:tc>
          <w:tcPr>
            <w:tcW w:w="1016" w:type="dxa"/>
            <w:noWrap/>
            <w:vAlign w:val="center"/>
            <w:hideMark/>
          </w:tcPr>
          <w:p w14:paraId="4682A575" w14:textId="616FA2C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1D124FF9" w14:textId="12C51972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6292CE75" w14:textId="2E6DD9C5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50757E4" w14:textId="3CD8A9D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5C38331" w14:textId="5EF880D5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59872F48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005DFAD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8443 Primljeni krediti od tuzemnih kreditnih institucija izvan javnog sektora</w:t>
            </w:r>
          </w:p>
        </w:tc>
        <w:tc>
          <w:tcPr>
            <w:tcW w:w="1130" w:type="dxa"/>
            <w:noWrap/>
            <w:vAlign w:val="center"/>
            <w:hideMark/>
          </w:tcPr>
          <w:p w14:paraId="306CA4A2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244.200,00</w:t>
            </w:r>
          </w:p>
        </w:tc>
        <w:tc>
          <w:tcPr>
            <w:tcW w:w="1016" w:type="dxa"/>
            <w:noWrap/>
            <w:vAlign w:val="center"/>
            <w:hideMark/>
          </w:tcPr>
          <w:p w14:paraId="52F499DE" w14:textId="47482C9D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0CBFB8A9" w14:textId="36E458E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321BEB29" w14:textId="713375E6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4194D79" w14:textId="7E736283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09BE0309" w14:textId="2B973473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787AA468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322DD42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130" w:type="dxa"/>
            <w:noWrap/>
            <w:vAlign w:val="center"/>
            <w:hideMark/>
          </w:tcPr>
          <w:p w14:paraId="23305401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32.275,54</w:t>
            </w:r>
          </w:p>
        </w:tc>
        <w:tc>
          <w:tcPr>
            <w:tcW w:w="1016" w:type="dxa"/>
            <w:noWrap/>
            <w:vAlign w:val="center"/>
            <w:hideMark/>
          </w:tcPr>
          <w:p w14:paraId="1013658F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60" w:type="dxa"/>
            <w:noWrap/>
            <w:vAlign w:val="center"/>
            <w:hideMark/>
          </w:tcPr>
          <w:p w14:paraId="532BE575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41" w:type="dxa"/>
            <w:noWrap/>
            <w:vAlign w:val="center"/>
            <w:hideMark/>
          </w:tcPr>
          <w:p w14:paraId="560E906B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45.042,10</w:t>
            </w:r>
          </w:p>
        </w:tc>
        <w:tc>
          <w:tcPr>
            <w:tcW w:w="993" w:type="dxa"/>
            <w:noWrap/>
            <w:vAlign w:val="center"/>
            <w:hideMark/>
          </w:tcPr>
          <w:p w14:paraId="07C74DB0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139,55%</w:t>
            </w:r>
          </w:p>
        </w:tc>
        <w:tc>
          <w:tcPr>
            <w:tcW w:w="997" w:type="dxa"/>
            <w:noWrap/>
            <w:vAlign w:val="center"/>
            <w:hideMark/>
          </w:tcPr>
          <w:p w14:paraId="03FC133C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97,92%</w:t>
            </w:r>
          </w:p>
        </w:tc>
      </w:tr>
      <w:tr w:rsidR="009230EE" w:rsidRPr="009230EE" w14:paraId="78BF03B1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1402322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130" w:type="dxa"/>
            <w:noWrap/>
            <w:vAlign w:val="center"/>
            <w:hideMark/>
          </w:tcPr>
          <w:p w14:paraId="334ACC20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32.275,54</w:t>
            </w:r>
          </w:p>
        </w:tc>
        <w:tc>
          <w:tcPr>
            <w:tcW w:w="1016" w:type="dxa"/>
            <w:noWrap/>
            <w:vAlign w:val="center"/>
            <w:hideMark/>
          </w:tcPr>
          <w:p w14:paraId="5785A5D0" w14:textId="5E3EEC8B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3D3713A0" w14:textId="2F05713B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04F8ACA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45.042,10</w:t>
            </w:r>
          </w:p>
        </w:tc>
        <w:tc>
          <w:tcPr>
            <w:tcW w:w="993" w:type="dxa"/>
            <w:noWrap/>
            <w:vAlign w:val="center"/>
            <w:hideMark/>
          </w:tcPr>
          <w:p w14:paraId="5304601A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139,55%</w:t>
            </w:r>
          </w:p>
        </w:tc>
        <w:tc>
          <w:tcPr>
            <w:tcW w:w="997" w:type="dxa"/>
            <w:noWrap/>
            <w:vAlign w:val="center"/>
            <w:hideMark/>
          </w:tcPr>
          <w:p w14:paraId="69E7B2B0" w14:textId="62C3F92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420D5274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52FDA3D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130" w:type="dxa"/>
            <w:noWrap/>
            <w:vAlign w:val="center"/>
            <w:hideMark/>
          </w:tcPr>
          <w:p w14:paraId="6784848A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32.275,54</w:t>
            </w:r>
          </w:p>
        </w:tc>
        <w:tc>
          <w:tcPr>
            <w:tcW w:w="1016" w:type="dxa"/>
            <w:noWrap/>
            <w:vAlign w:val="center"/>
            <w:hideMark/>
          </w:tcPr>
          <w:p w14:paraId="61DD9CDD" w14:textId="7ED5AB03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0DD7B85C" w14:textId="660E9656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27C84E61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45.042,10</w:t>
            </w:r>
          </w:p>
        </w:tc>
        <w:tc>
          <w:tcPr>
            <w:tcW w:w="993" w:type="dxa"/>
            <w:noWrap/>
            <w:vAlign w:val="center"/>
            <w:hideMark/>
          </w:tcPr>
          <w:p w14:paraId="4A73B87A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139,55%</w:t>
            </w:r>
          </w:p>
        </w:tc>
        <w:tc>
          <w:tcPr>
            <w:tcW w:w="997" w:type="dxa"/>
            <w:noWrap/>
            <w:vAlign w:val="center"/>
            <w:hideMark/>
          </w:tcPr>
          <w:p w14:paraId="547906F9" w14:textId="133AB4D9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350D67FE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1420F75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5443 Otplata glavnice primljenih kredita od tuzemnih kreditnih institucija izvan javnog sektora</w:t>
            </w:r>
          </w:p>
        </w:tc>
        <w:tc>
          <w:tcPr>
            <w:tcW w:w="1130" w:type="dxa"/>
            <w:noWrap/>
            <w:vAlign w:val="center"/>
            <w:hideMark/>
          </w:tcPr>
          <w:p w14:paraId="4FBEB913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32.275,54</w:t>
            </w:r>
          </w:p>
        </w:tc>
        <w:tc>
          <w:tcPr>
            <w:tcW w:w="1016" w:type="dxa"/>
            <w:noWrap/>
            <w:vAlign w:val="center"/>
            <w:hideMark/>
          </w:tcPr>
          <w:p w14:paraId="62CEE544" w14:textId="58AA5202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363E59F7" w14:textId="1918FEBB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110E20AA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45.042,10</w:t>
            </w:r>
          </w:p>
        </w:tc>
        <w:tc>
          <w:tcPr>
            <w:tcW w:w="993" w:type="dxa"/>
            <w:noWrap/>
            <w:vAlign w:val="center"/>
            <w:hideMark/>
          </w:tcPr>
          <w:p w14:paraId="6607DB9E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sz w:val="20"/>
                <w:szCs w:val="20"/>
              </w:rPr>
              <w:t>139,55%</w:t>
            </w:r>
          </w:p>
        </w:tc>
        <w:tc>
          <w:tcPr>
            <w:tcW w:w="997" w:type="dxa"/>
            <w:noWrap/>
            <w:vAlign w:val="center"/>
            <w:hideMark/>
          </w:tcPr>
          <w:p w14:paraId="56812FA3" w14:textId="4E38B496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510ADC5D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5E5B44B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NETO FINANCIRANJE</w:t>
            </w:r>
          </w:p>
        </w:tc>
        <w:tc>
          <w:tcPr>
            <w:tcW w:w="1130" w:type="dxa"/>
            <w:noWrap/>
            <w:vAlign w:val="center"/>
            <w:hideMark/>
          </w:tcPr>
          <w:p w14:paraId="6E678787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211.924,46</w:t>
            </w:r>
          </w:p>
        </w:tc>
        <w:tc>
          <w:tcPr>
            <w:tcW w:w="1016" w:type="dxa"/>
            <w:noWrap/>
            <w:vAlign w:val="center"/>
            <w:hideMark/>
          </w:tcPr>
          <w:p w14:paraId="14C73397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-46.000,00</w:t>
            </w:r>
          </w:p>
        </w:tc>
        <w:tc>
          <w:tcPr>
            <w:tcW w:w="1160" w:type="dxa"/>
            <w:noWrap/>
            <w:vAlign w:val="center"/>
            <w:hideMark/>
          </w:tcPr>
          <w:p w14:paraId="3912F0E9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-33.935,21</w:t>
            </w:r>
          </w:p>
        </w:tc>
        <w:tc>
          <w:tcPr>
            <w:tcW w:w="1141" w:type="dxa"/>
            <w:noWrap/>
            <w:vAlign w:val="center"/>
            <w:hideMark/>
          </w:tcPr>
          <w:p w14:paraId="26B0F84F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-45.042,10</w:t>
            </w:r>
          </w:p>
        </w:tc>
        <w:tc>
          <w:tcPr>
            <w:tcW w:w="993" w:type="dxa"/>
            <w:noWrap/>
            <w:vAlign w:val="center"/>
            <w:hideMark/>
          </w:tcPr>
          <w:p w14:paraId="6E32A41F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-21,25%</w:t>
            </w:r>
          </w:p>
        </w:tc>
        <w:tc>
          <w:tcPr>
            <w:tcW w:w="997" w:type="dxa"/>
            <w:noWrap/>
            <w:vAlign w:val="center"/>
            <w:hideMark/>
          </w:tcPr>
          <w:p w14:paraId="27CF26A9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132,73%</w:t>
            </w:r>
          </w:p>
        </w:tc>
      </w:tr>
      <w:tr w:rsidR="009230EE" w:rsidRPr="009230EE" w14:paraId="104A7054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28B4B3C1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noWrap/>
            <w:vAlign w:val="center"/>
            <w:hideMark/>
          </w:tcPr>
          <w:p w14:paraId="3760B00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noWrap/>
            <w:vAlign w:val="center"/>
            <w:hideMark/>
          </w:tcPr>
          <w:p w14:paraId="134DF03C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noWrap/>
            <w:vAlign w:val="center"/>
            <w:hideMark/>
          </w:tcPr>
          <w:p w14:paraId="3005F2A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center"/>
            <w:hideMark/>
          </w:tcPr>
          <w:p w14:paraId="6F3AEE1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2CD1178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50240115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0EE" w:rsidRPr="009230EE" w14:paraId="6042F86D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12C3F6F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130" w:type="dxa"/>
            <w:noWrap/>
            <w:vAlign w:val="center"/>
            <w:hideMark/>
          </w:tcPr>
          <w:p w14:paraId="02E75C1F" w14:textId="6EF103E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noWrap/>
            <w:vAlign w:val="center"/>
            <w:hideMark/>
          </w:tcPr>
          <w:p w14:paraId="00C5CFAE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noWrap/>
            <w:vAlign w:val="center"/>
            <w:hideMark/>
          </w:tcPr>
          <w:p w14:paraId="3FBD0574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12.064,79</w:t>
            </w:r>
          </w:p>
        </w:tc>
        <w:tc>
          <w:tcPr>
            <w:tcW w:w="1141" w:type="dxa"/>
            <w:noWrap/>
            <w:vAlign w:val="center"/>
            <w:hideMark/>
          </w:tcPr>
          <w:p w14:paraId="5187094D" w14:textId="2F2FA90F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47CB7B9" w14:textId="7074AA78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7FA10B7F" w14:textId="46BC9E7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30EE" w:rsidRPr="009230EE" w14:paraId="2C6C33FD" w14:textId="77777777" w:rsidTr="009230EE">
        <w:trPr>
          <w:trHeight w:val="300"/>
        </w:trPr>
        <w:tc>
          <w:tcPr>
            <w:tcW w:w="4537" w:type="dxa"/>
            <w:noWrap/>
            <w:hideMark/>
          </w:tcPr>
          <w:p w14:paraId="0441600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130" w:type="dxa"/>
            <w:noWrap/>
            <w:vAlign w:val="center"/>
            <w:hideMark/>
          </w:tcPr>
          <w:p w14:paraId="5B0D3AF0" w14:textId="52756CE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noWrap/>
            <w:vAlign w:val="center"/>
            <w:hideMark/>
          </w:tcPr>
          <w:p w14:paraId="259AFFF3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0" w:type="dxa"/>
            <w:noWrap/>
            <w:vAlign w:val="center"/>
            <w:hideMark/>
          </w:tcPr>
          <w:p w14:paraId="4659E34C" w14:textId="77777777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12.064,79</w:t>
            </w:r>
          </w:p>
        </w:tc>
        <w:tc>
          <w:tcPr>
            <w:tcW w:w="1141" w:type="dxa"/>
            <w:noWrap/>
            <w:vAlign w:val="center"/>
            <w:hideMark/>
          </w:tcPr>
          <w:p w14:paraId="0171A22C" w14:textId="7DDFCC8E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F671100" w14:textId="4D1882EA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noWrap/>
            <w:vAlign w:val="center"/>
            <w:hideMark/>
          </w:tcPr>
          <w:p w14:paraId="300434D9" w14:textId="4063279F" w:rsidR="009230EE" w:rsidRPr="009230EE" w:rsidRDefault="009230EE" w:rsidP="009230EE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F0E785F" w14:textId="77777777" w:rsidR="009230EE" w:rsidRPr="009230EE" w:rsidRDefault="009230EE" w:rsidP="00113339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92CCF78" w14:textId="77777777" w:rsidR="009230EE" w:rsidRDefault="009230EE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F537B88" w14:textId="77777777" w:rsidR="00B812B3" w:rsidRDefault="00B812B3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3DC4608" w14:textId="77777777" w:rsidR="00746A2A" w:rsidRDefault="00746A2A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7E8CBDA" w14:textId="0EFC3962" w:rsidR="00113339" w:rsidRDefault="00113339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-Izvještaj računa financira</w:t>
      </w:r>
      <w:r w:rsidR="00B57631">
        <w:rPr>
          <w:rFonts w:ascii="Times New Roman" w:hAnsi="Times New Roman" w:cs="Times New Roman"/>
          <w:sz w:val="28"/>
          <w:szCs w:val="28"/>
        </w:rPr>
        <w:t>nja prema izvorima financiranja:</w:t>
      </w:r>
    </w:p>
    <w:p w14:paraId="637A1970" w14:textId="77777777" w:rsidR="009230EE" w:rsidRDefault="009230EE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1079" w:type="dxa"/>
        <w:tblInd w:w="-601" w:type="dxa"/>
        <w:tblLook w:val="04A0" w:firstRow="1" w:lastRow="0" w:firstColumn="1" w:lastColumn="0" w:noHBand="0" w:noVBand="1"/>
      </w:tblPr>
      <w:tblGrid>
        <w:gridCol w:w="4253"/>
        <w:gridCol w:w="1276"/>
        <w:gridCol w:w="1258"/>
        <w:gridCol w:w="1152"/>
        <w:gridCol w:w="1140"/>
        <w:gridCol w:w="1134"/>
        <w:gridCol w:w="866"/>
      </w:tblGrid>
      <w:tr w:rsidR="009230EE" w:rsidRPr="009230EE" w14:paraId="6746DCA3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64943E9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276" w:type="dxa"/>
            <w:noWrap/>
            <w:hideMark/>
          </w:tcPr>
          <w:p w14:paraId="263333D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258" w:type="dxa"/>
            <w:noWrap/>
            <w:hideMark/>
          </w:tcPr>
          <w:p w14:paraId="15580C3B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2025.</w:t>
            </w:r>
          </w:p>
        </w:tc>
        <w:tc>
          <w:tcPr>
            <w:tcW w:w="1152" w:type="dxa"/>
            <w:noWrap/>
            <w:hideMark/>
          </w:tcPr>
          <w:p w14:paraId="6DDA007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2025.</w:t>
            </w:r>
          </w:p>
        </w:tc>
        <w:tc>
          <w:tcPr>
            <w:tcW w:w="1140" w:type="dxa"/>
            <w:noWrap/>
            <w:hideMark/>
          </w:tcPr>
          <w:p w14:paraId="5F507E3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2025.</w:t>
            </w:r>
          </w:p>
        </w:tc>
        <w:tc>
          <w:tcPr>
            <w:tcW w:w="1134" w:type="dxa"/>
            <w:noWrap/>
            <w:hideMark/>
          </w:tcPr>
          <w:p w14:paraId="2E06EB9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866" w:type="dxa"/>
            <w:noWrap/>
            <w:hideMark/>
          </w:tcPr>
          <w:p w14:paraId="5A897B2A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 4/3</w:t>
            </w:r>
          </w:p>
        </w:tc>
      </w:tr>
      <w:tr w:rsidR="009230EE" w:rsidRPr="009230EE" w14:paraId="419A951A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248B460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RAČUN ZADUŽIVANJA FINANCIRANJA</w:t>
            </w:r>
          </w:p>
        </w:tc>
        <w:tc>
          <w:tcPr>
            <w:tcW w:w="1276" w:type="dxa"/>
            <w:noWrap/>
            <w:hideMark/>
          </w:tcPr>
          <w:p w14:paraId="0E09B10B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8" w:type="dxa"/>
            <w:noWrap/>
            <w:hideMark/>
          </w:tcPr>
          <w:p w14:paraId="24D99F3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2" w:type="dxa"/>
            <w:noWrap/>
            <w:hideMark/>
          </w:tcPr>
          <w:p w14:paraId="4BBD6E2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0" w:type="dxa"/>
            <w:noWrap/>
            <w:hideMark/>
          </w:tcPr>
          <w:p w14:paraId="3D38777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A4CA04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hideMark/>
          </w:tcPr>
          <w:p w14:paraId="28AE4BB1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230EE" w:rsidRPr="009230EE" w14:paraId="1572F129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6256CB1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UKUPNI PRIMICI</w:t>
            </w:r>
          </w:p>
        </w:tc>
        <w:tc>
          <w:tcPr>
            <w:tcW w:w="1276" w:type="dxa"/>
            <w:noWrap/>
            <w:hideMark/>
          </w:tcPr>
          <w:p w14:paraId="36B9A6CB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244.200,00</w:t>
            </w:r>
          </w:p>
        </w:tc>
        <w:tc>
          <w:tcPr>
            <w:tcW w:w="1258" w:type="dxa"/>
            <w:noWrap/>
            <w:hideMark/>
          </w:tcPr>
          <w:p w14:paraId="0B407C2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43E6FBA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0F50B3D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113E11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7E86D3A9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6253090B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759A619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Namjenski prihodi od zaduživanja</w:t>
            </w:r>
          </w:p>
        </w:tc>
        <w:tc>
          <w:tcPr>
            <w:tcW w:w="1276" w:type="dxa"/>
            <w:noWrap/>
            <w:hideMark/>
          </w:tcPr>
          <w:p w14:paraId="3EA005A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244.200,00</w:t>
            </w:r>
          </w:p>
        </w:tc>
        <w:tc>
          <w:tcPr>
            <w:tcW w:w="1258" w:type="dxa"/>
            <w:noWrap/>
            <w:hideMark/>
          </w:tcPr>
          <w:p w14:paraId="1C0598E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1DC8C452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3A2039C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5680A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E9196C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105CE466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268ED6D2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8.4. Namjenski primici od zaduživanja</w:t>
            </w:r>
          </w:p>
        </w:tc>
        <w:tc>
          <w:tcPr>
            <w:tcW w:w="1276" w:type="dxa"/>
            <w:noWrap/>
            <w:hideMark/>
          </w:tcPr>
          <w:p w14:paraId="50D3F860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244.200,00</w:t>
            </w:r>
          </w:p>
        </w:tc>
        <w:tc>
          <w:tcPr>
            <w:tcW w:w="1258" w:type="dxa"/>
            <w:noWrap/>
            <w:hideMark/>
          </w:tcPr>
          <w:p w14:paraId="6EEC5CA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7CAB7471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589F03F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6810B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E57261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1B87EB08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56B2DEB1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UKUPNI IZDACI</w:t>
            </w:r>
          </w:p>
        </w:tc>
        <w:tc>
          <w:tcPr>
            <w:tcW w:w="1276" w:type="dxa"/>
            <w:noWrap/>
            <w:hideMark/>
          </w:tcPr>
          <w:p w14:paraId="27160AA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32.275,54</w:t>
            </w:r>
          </w:p>
        </w:tc>
        <w:tc>
          <w:tcPr>
            <w:tcW w:w="1258" w:type="dxa"/>
            <w:noWrap/>
            <w:hideMark/>
          </w:tcPr>
          <w:p w14:paraId="13A2DCF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52" w:type="dxa"/>
            <w:noWrap/>
            <w:hideMark/>
          </w:tcPr>
          <w:p w14:paraId="6A04C49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40" w:type="dxa"/>
            <w:noWrap/>
            <w:hideMark/>
          </w:tcPr>
          <w:p w14:paraId="53F64678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45.042,10</w:t>
            </w:r>
          </w:p>
        </w:tc>
        <w:tc>
          <w:tcPr>
            <w:tcW w:w="1134" w:type="dxa"/>
            <w:noWrap/>
            <w:hideMark/>
          </w:tcPr>
          <w:p w14:paraId="29FA483B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139,55%</w:t>
            </w:r>
          </w:p>
        </w:tc>
        <w:tc>
          <w:tcPr>
            <w:tcW w:w="866" w:type="dxa"/>
            <w:noWrap/>
            <w:hideMark/>
          </w:tcPr>
          <w:p w14:paraId="01B1C2B9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97,92%</w:t>
            </w:r>
          </w:p>
        </w:tc>
      </w:tr>
      <w:tr w:rsidR="009230EE" w:rsidRPr="009230EE" w14:paraId="6BEC002C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485051B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276" w:type="dxa"/>
            <w:noWrap/>
            <w:hideMark/>
          </w:tcPr>
          <w:p w14:paraId="4C5CF3F0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28.645,02</w:t>
            </w:r>
          </w:p>
        </w:tc>
        <w:tc>
          <w:tcPr>
            <w:tcW w:w="1258" w:type="dxa"/>
            <w:noWrap/>
            <w:hideMark/>
          </w:tcPr>
          <w:p w14:paraId="2507191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52" w:type="dxa"/>
            <w:noWrap/>
            <w:hideMark/>
          </w:tcPr>
          <w:p w14:paraId="1C59D468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40" w:type="dxa"/>
            <w:noWrap/>
            <w:hideMark/>
          </w:tcPr>
          <w:p w14:paraId="3D365FD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45.042,10</w:t>
            </w:r>
          </w:p>
        </w:tc>
        <w:tc>
          <w:tcPr>
            <w:tcW w:w="1134" w:type="dxa"/>
            <w:noWrap/>
            <w:hideMark/>
          </w:tcPr>
          <w:p w14:paraId="6A078E9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157,24%</w:t>
            </w:r>
          </w:p>
        </w:tc>
        <w:tc>
          <w:tcPr>
            <w:tcW w:w="866" w:type="dxa"/>
            <w:noWrap/>
            <w:hideMark/>
          </w:tcPr>
          <w:p w14:paraId="3EF5849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97,92%</w:t>
            </w:r>
          </w:p>
        </w:tc>
      </w:tr>
      <w:tr w:rsidR="009230EE" w:rsidRPr="009230EE" w14:paraId="70D94AB9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57CF9317" w14:textId="5116848D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 Opći priho</w:t>
            </w: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i primici</w:t>
            </w:r>
          </w:p>
        </w:tc>
        <w:tc>
          <w:tcPr>
            <w:tcW w:w="1276" w:type="dxa"/>
            <w:noWrap/>
            <w:hideMark/>
          </w:tcPr>
          <w:p w14:paraId="514AC3FA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28.645,02</w:t>
            </w:r>
          </w:p>
        </w:tc>
        <w:tc>
          <w:tcPr>
            <w:tcW w:w="1258" w:type="dxa"/>
            <w:noWrap/>
            <w:hideMark/>
          </w:tcPr>
          <w:p w14:paraId="3C4D39D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52" w:type="dxa"/>
            <w:noWrap/>
            <w:hideMark/>
          </w:tcPr>
          <w:p w14:paraId="79B1D0A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46.000,00</w:t>
            </w:r>
          </w:p>
        </w:tc>
        <w:tc>
          <w:tcPr>
            <w:tcW w:w="1140" w:type="dxa"/>
            <w:noWrap/>
            <w:hideMark/>
          </w:tcPr>
          <w:p w14:paraId="359DF8F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45.042,10</w:t>
            </w:r>
          </w:p>
        </w:tc>
        <w:tc>
          <w:tcPr>
            <w:tcW w:w="1134" w:type="dxa"/>
            <w:noWrap/>
            <w:hideMark/>
          </w:tcPr>
          <w:p w14:paraId="08662B2D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157,24%</w:t>
            </w:r>
          </w:p>
        </w:tc>
        <w:tc>
          <w:tcPr>
            <w:tcW w:w="866" w:type="dxa"/>
            <w:noWrap/>
            <w:hideMark/>
          </w:tcPr>
          <w:p w14:paraId="52931D5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97,92%</w:t>
            </w:r>
          </w:p>
        </w:tc>
      </w:tr>
      <w:tr w:rsidR="009230EE" w:rsidRPr="009230EE" w14:paraId="089E371A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5B149D48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Vlastiti prihodi</w:t>
            </w:r>
          </w:p>
        </w:tc>
        <w:tc>
          <w:tcPr>
            <w:tcW w:w="1276" w:type="dxa"/>
            <w:noWrap/>
            <w:hideMark/>
          </w:tcPr>
          <w:p w14:paraId="40E2B99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3.630,52</w:t>
            </w:r>
          </w:p>
        </w:tc>
        <w:tc>
          <w:tcPr>
            <w:tcW w:w="1258" w:type="dxa"/>
            <w:noWrap/>
            <w:hideMark/>
          </w:tcPr>
          <w:p w14:paraId="54F66E9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0CFD21B9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660376A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DEB79E0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DAF495D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3ED3E9F6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38B48A68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3.2. Vlastiti prihodi</w:t>
            </w:r>
          </w:p>
        </w:tc>
        <w:tc>
          <w:tcPr>
            <w:tcW w:w="1276" w:type="dxa"/>
            <w:noWrap/>
            <w:hideMark/>
          </w:tcPr>
          <w:p w14:paraId="012E86D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3.630,52</w:t>
            </w:r>
          </w:p>
        </w:tc>
        <w:tc>
          <w:tcPr>
            <w:tcW w:w="1258" w:type="dxa"/>
            <w:noWrap/>
            <w:hideMark/>
          </w:tcPr>
          <w:p w14:paraId="70F7650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5DECB57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5CFA3A1F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949154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0C9803B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4EF95EE3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62C351B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NETO FINANCIRANJE</w:t>
            </w:r>
          </w:p>
        </w:tc>
        <w:tc>
          <w:tcPr>
            <w:tcW w:w="1276" w:type="dxa"/>
            <w:noWrap/>
            <w:hideMark/>
          </w:tcPr>
          <w:p w14:paraId="7A22C10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211.924,46</w:t>
            </w:r>
          </w:p>
        </w:tc>
        <w:tc>
          <w:tcPr>
            <w:tcW w:w="1258" w:type="dxa"/>
            <w:noWrap/>
            <w:hideMark/>
          </w:tcPr>
          <w:p w14:paraId="22542AC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-46.000,00</w:t>
            </w:r>
          </w:p>
        </w:tc>
        <w:tc>
          <w:tcPr>
            <w:tcW w:w="1152" w:type="dxa"/>
            <w:noWrap/>
            <w:hideMark/>
          </w:tcPr>
          <w:p w14:paraId="11FA945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-46.000,00</w:t>
            </w:r>
          </w:p>
        </w:tc>
        <w:tc>
          <w:tcPr>
            <w:tcW w:w="1140" w:type="dxa"/>
            <w:noWrap/>
            <w:hideMark/>
          </w:tcPr>
          <w:p w14:paraId="5519012D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-45.042,10</w:t>
            </w:r>
          </w:p>
        </w:tc>
        <w:tc>
          <w:tcPr>
            <w:tcW w:w="1134" w:type="dxa"/>
            <w:noWrap/>
            <w:hideMark/>
          </w:tcPr>
          <w:p w14:paraId="3B4F1110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634E5400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7DE2A1AD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4FBA10F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276" w:type="dxa"/>
            <w:noWrap/>
            <w:hideMark/>
          </w:tcPr>
          <w:p w14:paraId="3029C02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4CBD6BA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19D73365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12.064,79</w:t>
            </w:r>
          </w:p>
        </w:tc>
        <w:tc>
          <w:tcPr>
            <w:tcW w:w="1140" w:type="dxa"/>
            <w:noWrap/>
            <w:hideMark/>
          </w:tcPr>
          <w:p w14:paraId="6FDB61B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416467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3DB5AE0B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2E4F3B75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7A61673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Vlastiti prihodi</w:t>
            </w:r>
          </w:p>
        </w:tc>
        <w:tc>
          <w:tcPr>
            <w:tcW w:w="1276" w:type="dxa"/>
            <w:noWrap/>
            <w:hideMark/>
          </w:tcPr>
          <w:p w14:paraId="05C10B63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59DE922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4A9AD7E9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12.064,79</w:t>
            </w:r>
          </w:p>
        </w:tc>
        <w:tc>
          <w:tcPr>
            <w:tcW w:w="1140" w:type="dxa"/>
            <w:noWrap/>
            <w:hideMark/>
          </w:tcPr>
          <w:p w14:paraId="3159E062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01E82A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443487E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230EE" w:rsidRPr="009230EE" w14:paraId="55B16414" w14:textId="77777777" w:rsidTr="009230EE">
        <w:trPr>
          <w:trHeight w:val="300"/>
        </w:trPr>
        <w:tc>
          <w:tcPr>
            <w:tcW w:w="4253" w:type="dxa"/>
            <w:noWrap/>
            <w:hideMark/>
          </w:tcPr>
          <w:p w14:paraId="30A8BF5D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 Vlastiti prihodi</w:t>
            </w:r>
          </w:p>
        </w:tc>
        <w:tc>
          <w:tcPr>
            <w:tcW w:w="1276" w:type="dxa"/>
            <w:noWrap/>
            <w:hideMark/>
          </w:tcPr>
          <w:p w14:paraId="54C20DA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8" w:type="dxa"/>
            <w:noWrap/>
            <w:hideMark/>
          </w:tcPr>
          <w:p w14:paraId="33939D3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noWrap/>
            <w:hideMark/>
          </w:tcPr>
          <w:p w14:paraId="4102E1A8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12.064,79</w:t>
            </w:r>
          </w:p>
        </w:tc>
        <w:tc>
          <w:tcPr>
            <w:tcW w:w="1140" w:type="dxa"/>
            <w:noWrap/>
            <w:hideMark/>
          </w:tcPr>
          <w:p w14:paraId="2697B6FC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53A9EE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noWrap/>
            <w:hideMark/>
          </w:tcPr>
          <w:p w14:paraId="15AAD4C6" w14:textId="77777777" w:rsidR="009230EE" w:rsidRPr="009230EE" w:rsidRDefault="009230EE" w:rsidP="009230EE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3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14:paraId="44777AAC" w14:textId="77777777" w:rsidR="00746A2A" w:rsidRDefault="00746A2A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0F05511" w14:textId="77777777" w:rsidR="00B57631" w:rsidRDefault="00B57631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C1AE6AD" w14:textId="22F7B9F5" w:rsidR="00BD2EB1" w:rsidRDefault="00BD2EB1" w:rsidP="00BD2EB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-10-</w:t>
      </w:r>
    </w:p>
    <w:p w14:paraId="14A5A94C" w14:textId="77777777" w:rsidR="00BD2EB1" w:rsidRDefault="00BD2EB1" w:rsidP="00BD2EB1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AEF429" w14:textId="016E1F89" w:rsidR="00113339" w:rsidRDefault="00631F8C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Primici od financiranja, odnose se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leasing</w:t>
      </w:r>
      <w:proofErr w:type="spellEnd"/>
      <w:r>
        <w:rPr>
          <w:rFonts w:ascii="Times New Roman" w:hAnsi="Times New Roman" w:cs="Times New Roman"/>
          <w:sz w:val="28"/>
          <w:szCs w:val="28"/>
        </w:rPr>
        <w:t>, koji smo  uz suglasnost Grada uzeli za nabavku novog  vatrogasnog vozila.</w:t>
      </w:r>
    </w:p>
    <w:p w14:paraId="14F297DF" w14:textId="77777777" w:rsidR="00113339" w:rsidRDefault="00113339" w:rsidP="0011333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9B8FA8A" w14:textId="77777777" w:rsidR="00113339" w:rsidRPr="004C4F96" w:rsidRDefault="00113339" w:rsidP="00113339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A60626A" w14:textId="3B7E372A" w:rsidR="00E62FA4" w:rsidRPr="004C4F96" w:rsidRDefault="00E62FA4" w:rsidP="00E62FA4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C4F96">
        <w:rPr>
          <w:rFonts w:ascii="Times New Roman" w:hAnsi="Times New Roman" w:cs="Times New Roman"/>
          <w:b/>
          <w:sz w:val="28"/>
          <w:szCs w:val="28"/>
        </w:rPr>
        <w:t>POSEBNI DIO GODIŠNJEG IZVJEŠTAJA O IZVRŠENJU FINANCIJSKOG PLANA</w:t>
      </w:r>
    </w:p>
    <w:p w14:paraId="74171F7F" w14:textId="77777777" w:rsidR="00E62FA4" w:rsidRPr="004C4F96" w:rsidRDefault="00E62FA4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362031CA" w14:textId="31F2A235" w:rsidR="00E62FA4" w:rsidRDefault="00E62FA4" w:rsidP="00E62FA4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Posebni dio izvještaja o izvršenju iskazuje se u izvještajima:</w:t>
      </w:r>
    </w:p>
    <w:p w14:paraId="0C22E688" w14:textId="49D1E89D" w:rsidR="00E62FA4" w:rsidRDefault="00743DC7" w:rsidP="00E62FA4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E62FA4">
        <w:rPr>
          <w:rFonts w:ascii="Times New Roman" w:hAnsi="Times New Roman" w:cs="Times New Roman"/>
          <w:sz w:val="28"/>
          <w:szCs w:val="28"/>
        </w:rPr>
        <w:t xml:space="preserve"> Izvještaj po organizacijskoj klasifikaciji</w:t>
      </w:r>
    </w:p>
    <w:p w14:paraId="4445AAF0" w14:textId="65C1D3C4" w:rsidR="00E62FA4" w:rsidRDefault="00743DC7" w:rsidP="00E62FA4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E62FA4">
        <w:rPr>
          <w:rFonts w:ascii="Times New Roman" w:hAnsi="Times New Roman" w:cs="Times New Roman"/>
          <w:sz w:val="28"/>
          <w:szCs w:val="28"/>
        </w:rPr>
        <w:t xml:space="preserve"> Izvještaj o programskoj klasifikaciji</w:t>
      </w:r>
    </w:p>
    <w:p w14:paraId="2C90EC79" w14:textId="77777777" w:rsidR="00743DC7" w:rsidRDefault="00743DC7" w:rsidP="00E62FA4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ECCBBFE" w14:textId="6E92F014" w:rsidR="00743DC7" w:rsidRDefault="00743DC7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4C4F96">
        <w:rPr>
          <w:rFonts w:ascii="Times New Roman" w:hAnsi="Times New Roman" w:cs="Times New Roman"/>
          <w:b/>
          <w:sz w:val="28"/>
          <w:szCs w:val="28"/>
        </w:rPr>
        <w:t>2.a) IZVJEŠTAJ PO ORGANIZACIJSKOJ KLASIFINACIJI</w:t>
      </w:r>
    </w:p>
    <w:p w14:paraId="36A9E330" w14:textId="77777777" w:rsidR="00746A2A" w:rsidRDefault="00746A2A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10448" w:type="dxa"/>
        <w:tblInd w:w="-459" w:type="dxa"/>
        <w:tblLook w:val="04A0" w:firstRow="1" w:lastRow="0" w:firstColumn="1" w:lastColumn="0" w:noHBand="0" w:noVBand="1"/>
      </w:tblPr>
      <w:tblGrid>
        <w:gridCol w:w="1276"/>
        <w:gridCol w:w="716"/>
        <w:gridCol w:w="3214"/>
        <w:gridCol w:w="1266"/>
        <w:gridCol w:w="1266"/>
        <w:gridCol w:w="1266"/>
        <w:gridCol w:w="1451"/>
      </w:tblGrid>
      <w:tr w:rsidR="00D113B9" w:rsidRPr="00D113B9" w14:paraId="176E90EF" w14:textId="77777777" w:rsidTr="00D113B9">
        <w:trPr>
          <w:trHeight w:val="300"/>
        </w:trPr>
        <w:tc>
          <w:tcPr>
            <w:tcW w:w="1985" w:type="dxa"/>
            <w:gridSpan w:val="2"/>
            <w:noWrap/>
            <w:vAlign w:val="center"/>
            <w:hideMark/>
          </w:tcPr>
          <w:p w14:paraId="28EB1953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3214" w:type="dxa"/>
            <w:noWrap/>
            <w:vAlign w:val="center"/>
            <w:hideMark/>
          </w:tcPr>
          <w:p w14:paraId="5E375F11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266" w:type="dxa"/>
            <w:noWrap/>
            <w:vAlign w:val="center"/>
            <w:hideMark/>
          </w:tcPr>
          <w:p w14:paraId="0D46E7D2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266" w:type="dxa"/>
            <w:noWrap/>
            <w:vAlign w:val="center"/>
            <w:hideMark/>
          </w:tcPr>
          <w:p w14:paraId="74381231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266" w:type="dxa"/>
            <w:noWrap/>
            <w:vAlign w:val="center"/>
            <w:hideMark/>
          </w:tcPr>
          <w:p w14:paraId="261ED6C4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</w:t>
            </w:r>
          </w:p>
        </w:tc>
        <w:tc>
          <w:tcPr>
            <w:tcW w:w="1451" w:type="dxa"/>
            <w:noWrap/>
            <w:vAlign w:val="center"/>
            <w:hideMark/>
          </w:tcPr>
          <w:p w14:paraId="0821E583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3/2</w:t>
            </w:r>
          </w:p>
        </w:tc>
      </w:tr>
      <w:tr w:rsidR="00D113B9" w:rsidRPr="00D113B9" w14:paraId="26C15DA7" w14:textId="77777777" w:rsidTr="00D113B9">
        <w:trPr>
          <w:trHeight w:val="300"/>
        </w:trPr>
        <w:tc>
          <w:tcPr>
            <w:tcW w:w="1985" w:type="dxa"/>
            <w:gridSpan w:val="2"/>
            <w:noWrap/>
            <w:vAlign w:val="center"/>
            <w:hideMark/>
          </w:tcPr>
          <w:p w14:paraId="07BAD919" w14:textId="25E678BC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4" w:type="dxa"/>
            <w:noWrap/>
            <w:vAlign w:val="center"/>
            <w:hideMark/>
          </w:tcPr>
          <w:p w14:paraId="2627575F" w14:textId="15B29645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noWrap/>
            <w:vAlign w:val="center"/>
            <w:hideMark/>
          </w:tcPr>
          <w:p w14:paraId="4E4F8F55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vAlign w:val="center"/>
            <w:hideMark/>
          </w:tcPr>
          <w:p w14:paraId="5D3A9614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noWrap/>
            <w:vAlign w:val="center"/>
            <w:hideMark/>
          </w:tcPr>
          <w:p w14:paraId="2B9C742E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1" w:type="dxa"/>
            <w:noWrap/>
            <w:vAlign w:val="center"/>
            <w:hideMark/>
          </w:tcPr>
          <w:p w14:paraId="2C21C64E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13B9" w:rsidRPr="00D113B9" w14:paraId="3BB7CD52" w14:textId="77777777" w:rsidTr="00D113B9">
        <w:trPr>
          <w:trHeight w:val="300"/>
        </w:trPr>
        <w:tc>
          <w:tcPr>
            <w:tcW w:w="1985" w:type="dxa"/>
            <w:gridSpan w:val="2"/>
            <w:noWrap/>
            <w:hideMark/>
          </w:tcPr>
          <w:p w14:paraId="633295CD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14" w:type="dxa"/>
            <w:noWrap/>
            <w:hideMark/>
          </w:tcPr>
          <w:p w14:paraId="26A9B3EA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266" w:type="dxa"/>
            <w:noWrap/>
            <w:vAlign w:val="center"/>
            <w:hideMark/>
          </w:tcPr>
          <w:p w14:paraId="5767D4B3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noWrap/>
            <w:vAlign w:val="center"/>
            <w:hideMark/>
          </w:tcPr>
          <w:p w14:paraId="4557B5D0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66" w:type="dxa"/>
            <w:noWrap/>
            <w:vAlign w:val="center"/>
            <w:hideMark/>
          </w:tcPr>
          <w:p w14:paraId="50E6BDC9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51" w:type="dxa"/>
            <w:noWrap/>
            <w:vAlign w:val="center"/>
            <w:hideMark/>
          </w:tcPr>
          <w:p w14:paraId="3F0B9DF6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D113B9" w:rsidRPr="00D113B9" w14:paraId="59FBDE44" w14:textId="77777777" w:rsidTr="00D113B9">
        <w:trPr>
          <w:trHeight w:val="300"/>
        </w:trPr>
        <w:tc>
          <w:tcPr>
            <w:tcW w:w="1276" w:type="dxa"/>
            <w:noWrap/>
            <w:hideMark/>
          </w:tcPr>
          <w:p w14:paraId="154C8C4C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709" w:type="dxa"/>
            <w:noWrap/>
            <w:hideMark/>
          </w:tcPr>
          <w:p w14:paraId="34AEFA5B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214" w:type="dxa"/>
            <w:noWrap/>
            <w:hideMark/>
          </w:tcPr>
          <w:p w14:paraId="37C7381F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UPRAVNI ODJEL ZA JAVNE POTREBE I DRUŠTVENE DJELATNOSTI</w:t>
            </w:r>
          </w:p>
        </w:tc>
        <w:tc>
          <w:tcPr>
            <w:tcW w:w="1266" w:type="dxa"/>
            <w:noWrap/>
            <w:vAlign w:val="center"/>
            <w:hideMark/>
          </w:tcPr>
          <w:p w14:paraId="70C0C68A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noWrap/>
            <w:vAlign w:val="center"/>
            <w:hideMark/>
          </w:tcPr>
          <w:p w14:paraId="2E8D8EB3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66" w:type="dxa"/>
            <w:noWrap/>
            <w:vAlign w:val="center"/>
            <w:hideMark/>
          </w:tcPr>
          <w:p w14:paraId="07A83888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51" w:type="dxa"/>
            <w:noWrap/>
            <w:vAlign w:val="center"/>
            <w:hideMark/>
          </w:tcPr>
          <w:p w14:paraId="5B8D622A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D113B9" w:rsidRPr="00D113B9" w14:paraId="58D12AB2" w14:textId="77777777" w:rsidTr="00D113B9">
        <w:trPr>
          <w:trHeight w:val="300"/>
        </w:trPr>
        <w:tc>
          <w:tcPr>
            <w:tcW w:w="1276" w:type="dxa"/>
            <w:noWrap/>
            <w:hideMark/>
          </w:tcPr>
          <w:p w14:paraId="2E8ABDF5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709" w:type="dxa"/>
            <w:noWrap/>
            <w:hideMark/>
          </w:tcPr>
          <w:p w14:paraId="1BA61F05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00306</w:t>
            </w:r>
          </w:p>
        </w:tc>
        <w:tc>
          <w:tcPr>
            <w:tcW w:w="3214" w:type="dxa"/>
            <w:noWrap/>
            <w:hideMark/>
          </w:tcPr>
          <w:p w14:paraId="4F00D370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VATROGASNA ZAŠTITA</w:t>
            </w:r>
          </w:p>
        </w:tc>
        <w:tc>
          <w:tcPr>
            <w:tcW w:w="1266" w:type="dxa"/>
            <w:noWrap/>
            <w:vAlign w:val="center"/>
            <w:hideMark/>
          </w:tcPr>
          <w:p w14:paraId="6DBC5A9C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noWrap/>
            <w:vAlign w:val="center"/>
            <w:hideMark/>
          </w:tcPr>
          <w:p w14:paraId="6DECF43A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66" w:type="dxa"/>
            <w:noWrap/>
            <w:vAlign w:val="center"/>
            <w:hideMark/>
          </w:tcPr>
          <w:p w14:paraId="36624218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51" w:type="dxa"/>
            <w:noWrap/>
            <w:vAlign w:val="center"/>
            <w:hideMark/>
          </w:tcPr>
          <w:p w14:paraId="728E5148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D113B9" w:rsidRPr="00D113B9" w14:paraId="44E8611C" w14:textId="77777777" w:rsidTr="00D113B9">
        <w:trPr>
          <w:trHeight w:val="300"/>
        </w:trPr>
        <w:tc>
          <w:tcPr>
            <w:tcW w:w="1276" w:type="dxa"/>
            <w:noWrap/>
            <w:hideMark/>
          </w:tcPr>
          <w:p w14:paraId="6B5FCC19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Proračunski korisnik</w:t>
            </w:r>
          </w:p>
        </w:tc>
        <w:tc>
          <w:tcPr>
            <w:tcW w:w="709" w:type="dxa"/>
            <w:noWrap/>
            <w:hideMark/>
          </w:tcPr>
          <w:p w14:paraId="5525C854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50901</w:t>
            </w:r>
          </w:p>
        </w:tc>
        <w:tc>
          <w:tcPr>
            <w:tcW w:w="3214" w:type="dxa"/>
            <w:noWrap/>
            <w:hideMark/>
          </w:tcPr>
          <w:p w14:paraId="25831210" w14:textId="77777777" w:rsidR="00D113B9" w:rsidRPr="00D113B9" w:rsidRDefault="00D113B9" w:rsidP="00D113B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JVP GRADA MAKARSKE</w:t>
            </w:r>
          </w:p>
        </w:tc>
        <w:tc>
          <w:tcPr>
            <w:tcW w:w="1266" w:type="dxa"/>
            <w:noWrap/>
            <w:vAlign w:val="center"/>
            <w:hideMark/>
          </w:tcPr>
          <w:p w14:paraId="3058B798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noWrap/>
            <w:vAlign w:val="center"/>
            <w:hideMark/>
          </w:tcPr>
          <w:p w14:paraId="56881C82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66" w:type="dxa"/>
            <w:noWrap/>
            <w:vAlign w:val="center"/>
            <w:hideMark/>
          </w:tcPr>
          <w:p w14:paraId="3EBA7C58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51" w:type="dxa"/>
            <w:noWrap/>
            <w:vAlign w:val="center"/>
            <w:hideMark/>
          </w:tcPr>
          <w:p w14:paraId="13412300" w14:textId="77777777" w:rsidR="00D113B9" w:rsidRPr="00D113B9" w:rsidRDefault="00D113B9" w:rsidP="00D113B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3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</w:tbl>
    <w:p w14:paraId="2E7D85F3" w14:textId="77777777" w:rsidR="00746A2A" w:rsidRPr="004C4F96" w:rsidRDefault="00746A2A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249744C" w14:textId="77777777" w:rsidR="004C4F96" w:rsidRDefault="004C4F96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2833756" w14:textId="346FA8D2" w:rsidR="00743DC7" w:rsidRDefault="00DB69A2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217860">
        <w:rPr>
          <w:rFonts w:ascii="Times New Roman" w:hAnsi="Times New Roman" w:cs="Times New Roman"/>
          <w:b/>
          <w:sz w:val="28"/>
          <w:szCs w:val="28"/>
        </w:rPr>
        <w:t>2.b) IZVJEŠTAJ O PROGRAMSKOJ KLASIFIKACIJI</w:t>
      </w:r>
    </w:p>
    <w:p w14:paraId="509DCD95" w14:textId="77777777" w:rsidR="00A75782" w:rsidRDefault="00A75782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0E4AADD" w14:textId="77777777" w:rsidR="00A75782" w:rsidRDefault="00A75782" w:rsidP="00E62FA4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10534" w:type="dxa"/>
        <w:tblInd w:w="-459" w:type="dxa"/>
        <w:tblLook w:val="04A0" w:firstRow="1" w:lastRow="0" w:firstColumn="1" w:lastColumn="0" w:noHBand="0" w:noVBand="1"/>
      </w:tblPr>
      <w:tblGrid>
        <w:gridCol w:w="1750"/>
        <w:gridCol w:w="3353"/>
        <w:gridCol w:w="1472"/>
        <w:gridCol w:w="96"/>
        <w:gridCol w:w="1170"/>
        <w:gridCol w:w="1276"/>
        <w:gridCol w:w="1417"/>
      </w:tblGrid>
      <w:tr w:rsidR="00A75782" w:rsidRPr="00A75782" w14:paraId="39948934" w14:textId="77777777" w:rsidTr="003161C7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64A7B90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1568" w:type="dxa"/>
            <w:gridSpan w:val="2"/>
            <w:noWrap/>
            <w:hideMark/>
          </w:tcPr>
          <w:p w14:paraId="1172149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08BBC0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B9C2C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071D21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75782" w:rsidRPr="00A75782" w14:paraId="39BBF391" w14:textId="77777777" w:rsidTr="003161C7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60770A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1568" w:type="dxa"/>
            <w:gridSpan w:val="2"/>
            <w:noWrap/>
            <w:hideMark/>
          </w:tcPr>
          <w:p w14:paraId="367982A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E95D4D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12772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072A8A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75782" w:rsidRPr="00A75782" w14:paraId="21971C74" w14:textId="77777777" w:rsidTr="003161C7">
        <w:trPr>
          <w:trHeight w:val="300"/>
        </w:trPr>
        <w:tc>
          <w:tcPr>
            <w:tcW w:w="1750" w:type="dxa"/>
            <w:noWrap/>
            <w:vAlign w:val="center"/>
            <w:hideMark/>
          </w:tcPr>
          <w:p w14:paraId="7CA6E85D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3353" w:type="dxa"/>
            <w:noWrap/>
            <w:vAlign w:val="center"/>
            <w:hideMark/>
          </w:tcPr>
          <w:p w14:paraId="2A2D2F4C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1568" w:type="dxa"/>
            <w:gridSpan w:val="2"/>
            <w:noWrap/>
            <w:vAlign w:val="center"/>
            <w:hideMark/>
          </w:tcPr>
          <w:p w14:paraId="227C45A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170" w:type="dxa"/>
            <w:noWrap/>
            <w:vAlign w:val="center"/>
            <w:hideMark/>
          </w:tcPr>
          <w:p w14:paraId="14893013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276" w:type="dxa"/>
            <w:noWrap/>
            <w:vAlign w:val="center"/>
            <w:hideMark/>
          </w:tcPr>
          <w:p w14:paraId="6E060DE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Izvršenje 2025</w:t>
            </w:r>
          </w:p>
        </w:tc>
        <w:tc>
          <w:tcPr>
            <w:tcW w:w="1417" w:type="dxa"/>
            <w:noWrap/>
            <w:vAlign w:val="center"/>
            <w:hideMark/>
          </w:tcPr>
          <w:p w14:paraId="795088A5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 3/2</w:t>
            </w:r>
          </w:p>
        </w:tc>
      </w:tr>
      <w:tr w:rsidR="00A75782" w:rsidRPr="00A75782" w14:paraId="36C9A507" w14:textId="77777777" w:rsidTr="003161C7">
        <w:trPr>
          <w:trHeight w:val="300"/>
        </w:trPr>
        <w:tc>
          <w:tcPr>
            <w:tcW w:w="5103" w:type="dxa"/>
            <w:gridSpan w:val="2"/>
            <w:noWrap/>
            <w:vAlign w:val="center"/>
            <w:hideMark/>
          </w:tcPr>
          <w:p w14:paraId="77407DDF" w14:textId="6101053E" w:rsidR="00A75782" w:rsidRPr="00A75782" w:rsidRDefault="00A75782" w:rsidP="00A7578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3F6A1D1B" w14:textId="0029DC9C" w:rsidR="00A75782" w:rsidRPr="00A75782" w:rsidRDefault="00A75782" w:rsidP="00A7578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4EB68CD" w14:textId="77777777" w:rsidR="00A75782" w:rsidRPr="00A75782" w:rsidRDefault="00A75782" w:rsidP="00A7578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6207211" w14:textId="77777777" w:rsidR="00A75782" w:rsidRPr="00A75782" w:rsidRDefault="00A75782" w:rsidP="00A7578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5C4B7BE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75782" w:rsidRPr="00A75782" w14:paraId="297270A6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7C3EE9F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472" w:type="dxa"/>
            <w:noWrap/>
            <w:vAlign w:val="center"/>
            <w:hideMark/>
          </w:tcPr>
          <w:p w14:paraId="14A32A6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29ECB1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30E2467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73B6088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11EE4825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259A056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RAZDJEL 003 UPRAVNI ODJEL ZA JAVNE POTREBE I DRUŠTVENE DJELATNOSTI</w:t>
            </w:r>
          </w:p>
        </w:tc>
        <w:tc>
          <w:tcPr>
            <w:tcW w:w="1472" w:type="dxa"/>
            <w:noWrap/>
            <w:vAlign w:val="center"/>
            <w:hideMark/>
          </w:tcPr>
          <w:p w14:paraId="20CDC54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1167A4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265ED4A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1F1208F4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5E9E867A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5BA8098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GLAVA 00306 VATROGASNA ZAŠTITA</w:t>
            </w:r>
          </w:p>
        </w:tc>
        <w:tc>
          <w:tcPr>
            <w:tcW w:w="1472" w:type="dxa"/>
            <w:noWrap/>
            <w:vAlign w:val="center"/>
            <w:hideMark/>
          </w:tcPr>
          <w:p w14:paraId="5882B41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943E91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2D50FDA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1720C12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6FA3EB09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6197294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PROR. KORISNIK 50901 JVP GRADA MAKARSKE</w:t>
            </w:r>
          </w:p>
        </w:tc>
        <w:tc>
          <w:tcPr>
            <w:tcW w:w="1472" w:type="dxa"/>
            <w:noWrap/>
            <w:vAlign w:val="center"/>
            <w:hideMark/>
          </w:tcPr>
          <w:p w14:paraId="7F17925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656D72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0C888CD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6D91061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6C61C221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0DF2376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2" w:type="dxa"/>
            <w:noWrap/>
            <w:vAlign w:val="center"/>
            <w:hideMark/>
          </w:tcPr>
          <w:p w14:paraId="2044C9C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9FDC33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6735F7D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897.446,40</w:t>
            </w:r>
          </w:p>
        </w:tc>
        <w:tc>
          <w:tcPr>
            <w:tcW w:w="1417" w:type="dxa"/>
            <w:noWrap/>
            <w:vAlign w:val="center"/>
            <w:hideMark/>
          </w:tcPr>
          <w:p w14:paraId="1C726A3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90,20%</w:t>
            </w:r>
          </w:p>
        </w:tc>
      </w:tr>
      <w:tr w:rsidR="00A75782" w:rsidRPr="00A75782" w14:paraId="2CFBD9A2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AAEE5F0" w14:textId="62DD3616" w:rsidR="00A75782" w:rsidRPr="00A75782" w:rsidRDefault="00A75782" w:rsidP="003161C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472" w:type="dxa"/>
            <w:noWrap/>
            <w:vAlign w:val="center"/>
            <w:hideMark/>
          </w:tcPr>
          <w:p w14:paraId="42B7D9D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22DDD8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549899F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897.446,40</w:t>
            </w:r>
          </w:p>
        </w:tc>
        <w:tc>
          <w:tcPr>
            <w:tcW w:w="1417" w:type="dxa"/>
            <w:noWrap/>
            <w:vAlign w:val="center"/>
            <w:hideMark/>
          </w:tcPr>
          <w:p w14:paraId="7D57D10D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90,20%</w:t>
            </w:r>
          </w:p>
        </w:tc>
      </w:tr>
      <w:tr w:rsidR="00A75782" w:rsidRPr="00A75782" w14:paraId="0A23B177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FA4780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2" w:type="dxa"/>
            <w:noWrap/>
            <w:vAlign w:val="center"/>
            <w:hideMark/>
          </w:tcPr>
          <w:p w14:paraId="039CDC1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3B41F6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276" w:type="dxa"/>
            <w:noWrap/>
            <w:vAlign w:val="center"/>
            <w:hideMark/>
          </w:tcPr>
          <w:p w14:paraId="202532A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417" w:type="dxa"/>
            <w:noWrap/>
            <w:vAlign w:val="center"/>
            <w:hideMark/>
          </w:tcPr>
          <w:p w14:paraId="4E14AC52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A75782" w:rsidRPr="00A75782" w14:paraId="0F31B851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5C3C314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3.2. Vlastiti prihodi</w:t>
            </w:r>
          </w:p>
        </w:tc>
        <w:tc>
          <w:tcPr>
            <w:tcW w:w="1472" w:type="dxa"/>
            <w:noWrap/>
            <w:vAlign w:val="center"/>
            <w:hideMark/>
          </w:tcPr>
          <w:p w14:paraId="0C3AB20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2CBA1F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276" w:type="dxa"/>
            <w:noWrap/>
            <w:vAlign w:val="center"/>
            <w:hideMark/>
          </w:tcPr>
          <w:p w14:paraId="19112CC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417" w:type="dxa"/>
            <w:noWrap/>
            <w:vAlign w:val="center"/>
            <w:hideMark/>
          </w:tcPr>
          <w:p w14:paraId="42F013BB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A75782" w:rsidRPr="00A75782" w14:paraId="31CEBE8D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0C4DF771" w14:textId="137F6CBD" w:rsidR="00A75782" w:rsidRPr="00A75782" w:rsidRDefault="00A75782" w:rsidP="003161C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 Prih</w:t>
            </w:r>
            <w:r w:rsidR="0031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za posebne namjene</w:t>
            </w:r>
          </w:p>
        </w:tc>
        <w:tc>
          <w:tcPr>
            <w:tcW w:w="1472" w:type="dxa"/>
            <w:noWrap/>
            <w:vAlign w:val="center"/>
            <w:hideMark/>
          </w:tcPr>
          <w:p w14:paraId="261A565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B6EEDA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276" w:type="dxa"/>
            <w:noWrap/>
            <w:vAlign w:val="center"/>
            <w:hideMark/>
          </w:tcPr>
          <w:p w14:paraId="499F2D84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417" w:type="dxa"/>
            <w:noWrap/>
            <w:vAlign w:val="center"/>
            <w:hideMark/>
          </w:tcPr>
          <w:p w14:paraId="7AA1F20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A75782" w:rsidRPr="00A75782" w14:paraId="5B03D01A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7EB8F1B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4.3. Ostali prihodi za posebne namjene</w:t>
            </w:r>
          </w:p>
        </w:tc>
        <w:tc>
          <w:tcPr>
            <w:tcW w:w="1472" w:type="dxa"/>
            <w:noWrap/>
            <w:vAlign w:val="center"/>
            <w:hideMark/>
          </w:tcPr>
          <w:p w14:paraId="181DB72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707F32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276" w:type="dxa"/>
            <w:noWrap/>
            <w:vAlign w:val="center"/>
            <w:hideMark/>
          </w:tcPr>
          <w:p w14:paraId="17085B3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417" w:type="dxa"/>
            <w:noWrap/>
            <w:vAlign w:val="center"/>
            <w:hideMark/>
          </w:tcPr>
          <w:p w14:paraId="36A109DA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A75782" w:rsidRPr="00A75782" w14:paraId="320E3E11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65F5541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2" w:type="dxa"/>
            <w:noWrap/>
            <w:vAlign w:val="center"/>
            <w:hideMark/>
          </w:tcPr>
          <w:p w14:paraId="0FA79634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B3A03F0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6BB5C6C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796DFA3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392A7EDC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4A28D95C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5.4. Pomoći za proračunske korisnike</w:t>
            </w:r>
          </w:p>
        </w:tc>
        <w:tc>
          <w:tcPr>
            <w:tcW w:w="1472" w:type="dxa"/>
            <w:noWrap/>
            <w:vAlign w:val="center"/>
            <w:hideMark/>
          </w:tcPr>
          <w:p w14:paraId="1C277D6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203CB1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5692FAE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FB18AE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5FE908CB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08CB017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 Pomoći</w:t>
            </w:r>
          </w:p>
        </w:tc>
        <w:tc>
          <w:tcPr>
            <w:tcW w:w="1472" w:type="dxa"/>
            <w:noWrap/>
            <w:vAlign w:val="center"/>
            <w:hideMark/>
          </w:tcPr>
          <w:p w14:paraId="6F03539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DAADE9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4F2AF23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D9A34D1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253A22A3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3C1D29E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6.4. Donacije za proračunske korisnike</w:t>
            </w:r>
          </w:p>
        </w:tc>
        <w:tc>
          <w:tcPr>
            <w:tcW w:w="1472" w:type="dxa"/>
            <w:noWrap/>
            <w:vAlign w:val="center"/>
            <w:hideMark/>
          </w:tcPr>
          <w:p w14:paraId="45DE879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503CC6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7DC52F2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0AF040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049AA0BA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1DA1F2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A08</w:t>
            </w:r>
          </w:p>
        </w:tc>
        <w:tc>
          <w:tcPr>
            <w:tcW w:w="3353" w:type="dxa"/>
            <w:noWrap/>
            <w:hideMark/>
          </w:tcPr>
          <w:p w14:paraId="27EA78A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Glavni program: PROGRAM SUSTAVA ZAŠTITE I SPAŠAVANJA</w:t>
            </w:r>
          </w:p>
        </w:tc>
        <w:tc>
          <w:tcPr>
            <w:tcW w:w="1472" w:type="dxa"/>
            <w:noWrap/>
            <w:vAlign w:val="center"/>
            <w:hideMark/>
          </w:tcPr>
          <w:p w14:paraId="69239C2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62B3E5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1403813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6580431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61AF414D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22F4F2B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3510</w:t>
            </w:r>
          </w:p>
        </w:tc>
        <w:tc>
          <w:tcPr>
            <w:tcW w:w="3353" w:type="dxa"/>
            <w:noWrap/>
            <w:hideMark/>
          </w:tcPr>
          <w:p w14:paraId="2A1124E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Program: REDOVNA DJELATNOST JVP MAKARSKA</w:t>
            </w:r>
          </w:p>
        </w:tc>
        <w:tc>
          <w:tcPr>
            <w:tcW w:w="1472" w:type="dxa"/>
            <w:noWrap/>
            <w:vAlign w:val="center"/>
            <w:hideMark/>
          </w:tcPr>
          <w:p w14:paraId="6EC0E55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92B226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06D2D31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60F993FD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6B40D865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28F75EB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A351001</w:t>
            </w:r>
          </w:p>
        </w:tc>
        <w:tc>
          <w:tcPr>
            <w:tcW w:w="3353" w:type="dxa"/>
            <w:noWrap/>
            <w:hideMark/>
          </w:tcPr>
          <w:p w14:paraId="34F95E6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Aktivnost: REDOVNA DJELATNOST JVP MAKARSKA</w:t>
            </w:r>
          </w:p>
        </w:tc>
        <w:tc>
          <w:tcPr>
            <w:tcW w:w="1472" w:type="dxa"/>
            <w:noWrap/>
            <w:vAlign w:val="center"/>
            <w:hideMark/>
          </w:tcPr>
          <w:p w14:paraId="5DA6AF84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1.164.399,35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EA8339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1.367.384,21</w:t>
            </w:r>
          </w:p>
        </w:tc>
        <w:tc>
          <w:tcPr>
            <w:tcW w:w="1276" w:type="dxa"/>
            <w:noWrap/>
            <w:vAlign w:val="center"/>
            <w:hideMark/>
          </w:tcPr>
          <w:p w14:paraId="75D0237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1.235.446,66</w:t>
            </w:r>
          </w:p>
        </w:tc>
        <w:tc>
          <w:tcPr>
            <w:tcW w:w="1417" w:type="dxa"/>
            <w:noWrap/>
            <w:vAlign w:val="center"/>
            <w:hideMark/>
          </w:tcPr>
          <w:p w14:paraId="4CEE4102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90,35%</w:t>
            </w:r>
          </w:p>
        </w:tc>
      </w:tr>
      <w:tr w:rsidR="00A75782" w:rsidRPr="00A75782" w14:paraId="271FBFED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5AB6245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2" w:type="dxa"/>
            <w:noWrap/>
            <w:vAlign w:val="center"/>
            <w:hideMark/>
          </w:tcPr>
          <w:p w14:paraId="189C6DC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42D2FA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148A263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897.446,40</w:t>
            </w:r>
          </w:p>
        </w:tc>
        <w:tc>
          <w:tcPr>
            <w:tcW w:w="1417" w:type="dxa"/>
            <w:noWrap/>
            <w:vAlign w:val="center"/>
            <w:hideMark/>
          </w:tcPr>
          <w:p w14:paraId="12E99C5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90,20%</w:t>
            </w:r>
          </w:p>
        </w:tc>
      </w:tr>
      <w:tr w:rsidR="00A75782" w:rsidRPr="00A75782" w14:paraId="7C692900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4E86F6A4" w14:textId="1A7B4EE0" w:rsidR="00A75782" w:rsidRPr="00A75782" w:rsidRDefault="00A75782" w:rsidP="003161C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1.1. Opći prihodi i primici</w:t>
            </w:r>
          </w:p>
        </w:tc>
        <w:tc>
          <w:tcPr>
            <w:tcW w:w="1472" w:type="dxa"/>
            <w:noWrap/>
            <w:vAlign w:val="center"/>
            <w:hideMark/>
          </w:tcPr>
          <w:p w14:paraId="2AB0CC0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814.670,00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B8F988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2EDA920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897.446,40</w:t>
            </w:r>
          </w:p>
        </w:tc>
        <w:tc>
          <w:tcPr>
            <w:tcW w:w="1417" w:type="dxa"/>
            <w:noWrap/>
            <w:vAlign w:val="center"/>
            <w:hideMark/>
          </w:tcPr>
          <w:p w14:paraId="12204E51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90,20%</w:t>
            </w:r>
          </w:p>
        </w:tc>
      </w:tr>
      <w:tr w:rsidR="00A75782" w:rsidRPr="00A75782" w14:paraId="02ACBC87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479AD71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353" w:type="dxa"/>
            <w:noWrap/>
            <w:hideMark/>
          </w:tcPr>
          <w:p w14:paraId="1A3A095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zaposlene</w:t>
            </w:r>
          </w:p>
        </w:tc>
        <w:tc>
          <w:tcPr>
            <w:tcW w:w="1472" w:type="dxa"/>
            <w:noWrap/>
            <w:vAlign w:val="center"/>
            <w:hideMark/>
          </w:tcPr>
          <w:p w14:paraId="3F83FCE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685.975,00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589342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818.705,00</w:t>
            </w:r>
          </w:p>
        </w:tc>
        <w:tc>
          <w:tcPr>
            <w:tcW w:w="1276" w:type="dxa"/>
            <w:noWrap/>
            <w:vAlign w:val="center"/>
            <w:hideMark/>
          </w:tcPr>
          <w:p w14:paraId="3BA1C18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767.238,69</w:t>
            </w:r>
          </w:p>
        </w:tc>
        <w:tc>
          <w:tcPr>
            <w:tcW w:w="1417" w:type="dxa"/>
            <w:noWrap/>
            <w:vAlign w:val="center"/>
            <w:hideMark/>
          </w:tcPr>
          <w:p w14:paraId="47898B2B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93,71%</w:t>
            </w:r>
          </w:p>
        </w:tc>
      </w:tr>
      <w:tr w:rsidR="00A75782" w:rsidRPr="00A75782" w14:paraId="33B8AE4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DD9B1D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3111</w:t>
            </w:r>
          </w:p>
        </w:tc>
        <w:tc>
          <w:tcPr>
            <w:tcW w:w="3353" w:type="dxa"/>
            <w:noWrap/>
            <w:hideMark/>
          </w:tcPr>
          <w:p w14:paraId="6389313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Plaće za redovan rad</w:t>
            </w:r>
          </w:p>
        </w:tc>
        <w:tc>
          <w:tcPr>
            <w:tcW w:w="1472" w:type="dxa"/>
            <w:noWrap/>
            <w:vAlign w:val="center"/>
            <w:hideMark/>
          </w:tcPr>
          <w:p w14:paraId="213110B3" w14:textId="4D0F2160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25A6C14" w14:textId="588037B1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1F13F4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594.642,05</w:t>
            </w:r>
          </w:p>
        </w:tc>
        <w:tc>
          <w:tcPr>
            <w:tcW w:w="1417" w:type="dxa"/>
            <w:noWrap/>
            <w:vAlign w:val="center"/>
            <w:hideMark/>
          </w:tcPr>
          <w:p w14:paraId="6F15D5D1" w14:textId="078DB468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859453D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8DC6BA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3121</w:t>
            </w:r>
          </w:p>
        </w:tc>
        <w:tc>
          <w:tcPr>
            <w:tcW w:w="3353" w:type="dxa"/>
            <w:noWrap/>
            <w:hideMark/>
          </w:tcPr>
          <w:p w14:paraId="5B19F9D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Ostali rashodi za zaposlene</w:t>
            </w:r>
          </w:p>
        </w:tc>
        <w:tc>
          <w:tcPr>
            <w:tcW w:w="1472" w:type="dxa"/>
            <w:noWrap/>
            <w:vAlign w:val="center"/>
            <w:hideMark/>
          </w:tcPr>
          <w:p w14:paraId="0E92C510" w14:textId="49E556A5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F9EB860" w14:textId="7E39CD8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14123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28.756,63</w:t>
            </w:r>
          </w:p>
        </w:tc>
        <w:tc>
          <w:tcPr>
            <w:tcW w:w="1417" w:type="dxa"/>
            <w:noWrap/>
            <w:vAlign w:val="center"/>
            <w:hideMark/>
          </w:tcPr>
          <w:p w14:paraId="580CA66B" w14:textId="624EA2C4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6BEFEBA3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9F97FD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3131</w:t>
            </w:r>
          </w:p>
        </w:tc>
        <w:tc>
          <w:tcPr>
            <w:tcW w:w="3353" w:type="dxa"/>
            <w:noWrap/>
            <w:hideMark/>
          </w:tcPr>
          <w:p w14:paraId="13A936B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Doprinosi za mirovinsko osiguranje za staž s povećanim trajanjem</w:t>
            </w:r>
          </w:p>
        </w:tc>
        <w:tc>
          <w:tcPr>
            <w:tcW w:w="1472" w:type="dxa"/>
            <w:noWrap/>
            <w:vAlign w:val="center"/>
            <w:hideMark/>
          </w:tcPr>
          <w:p w14:paraId="5DA4D063" w14:textId="0A8DDEB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6DB51DD" w14:textId="7FA55735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6E0545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45.716,19</w:t>
            </w:r>
          </w:p>
        </w:tc>
        <w:tc>
          <w:tcPr>
            <w:tcW w:w="1417" w:type="dxa"/>
            <w:noWrap/>
            <w:vAlign w:val="center"/>
            <w:hideMark/>
          </w:tcPr>
          <w:p w14:paraId="17106B45" w14:textId="7DC720C0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2C05D266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A071F1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3132</w:t>
            </w:r>
          </w:p>
        </w:tc>
        <w:tc>
          <w:tcPr>
            <w:tcW w:w="3353" w:type="dxa"/>
            <w:noWrap/>
            <w:hideMark/>
          </w:tcPr>
          <w:p w14:paraId="3E40E8C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Doprinosi za obvezno zdravstveno osiguranje</w:t>
            </w:r>
          </w:p>
        </w:tc>
        <w:tc>
          <w:tcPr>
            <w:tcW w:w="1472" w:type="dxa"/>
            <w:noWrap/>
            <w:vAlign w:val="center"/>
            <w:hideMark/>
          </w:tcPr>
          <w:p w14:paraId="5B302829" w14:textId="050F98D3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1819A5D" w14:textId="426680D6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40BCA1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98.123,82</w:t>
            </w:r>
          </w:p>
        </w:tc>
        <w:tc>
          <w:tcPr>
            <w:tcW w:w="1417" w:type="dxa"/>
            <w:noWrap/>
            <w:vAlign w:val="center"/>
            <w:hideMark/>
          </w:tcPr>
          <w:p w14:paraId="135481D7" w14:textId="5B406700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3D4239A6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29A83A8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353" w:type="dxa"/>
            <w:noWrap/>
            <w:hideMark/>
          </w:tcPr>
          <w:p w14:paraId="35DA991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1E2F38A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72.095,00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49E4FB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102.695,00</w:t>
            </w:r>
          </w:p>
        </w:tc>
        <w:tc>
          <w:tcPr>
            <w:tcW w:w="1276" w:type="dxa"/>
            <w:noWrap/>
            <w:vAlign w:val="center"/>
            <w:hideMark/>
          </w:tcPr>
          <w:p w14:paraId="1864030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58.978,69</w:t>
            </w:r>
          </w:p>
        </w:tc>
        <w:tc>
          <w:tcPr>
            <w:tcW w:w="1417" w:type="dxa"/>
            <w:noWrap/>
            <w:vAlign w:val="center"/>
            <w:hideMark/>
          </w:tcPr>
          <w:p w14:paraId="4FD5198E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57,43%</w:t>
            </w:r>
          </w:p>
        </w:tc>
      </w:tr>
      <w:tr w:rsidR="00A75782" w:rsidRPr="00A75782" w14:paraId="091A9049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3268AC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3211</w:t>
            </w:r>
          </w:p>
        </w:tc>
        <w:tc>
          <w:tcPr>
            <w:tcW w:w="3353" w:type="dxa"/>
            <w:noWrap/>
            <w:hideMark/>
          </w:tcPr>
          <w:p w14:paraId="48A5EC7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Službena putovanja</w:t>
            </w:r>
          </w:p>
        </w:tc>
        <w:tc>
          <w:tcPr>
            <w:tcW w:w="1472" w:type="dxa"/>
            <w:noWrap/>
            <w:vAlign w:val="center"/>
            <w:hideMark/>
          </w:tcPr>
          <w:p w14:paraId="206CC58E" w14:textId="716975B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7E3A0E5" w14:textId="75D5135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2A02F8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90,00</w:t>
            </w:r>
          </w:p>
        </w:tc>
        <w:tc>
          <w:tcPr>
            <w:tcW w:w="1417" w:type="dxa"/>
            <w:noWrap/>
            <w:vAlign w:val="center"/>
            <w:hideMark/>
          </w:tcPr>
          <w:p w14:paraId="164C530B" w14:textId="50BC5193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05C700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27CD07C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3212</w:t>
            </w:r>
          </w:p>
        </w:tc>
        <w:tc>
          <w:tcPr>
            <w:tcW w:w="3353" w:type="dxa"/>
            <w:noWrap/>
            <w:hideMark/>
          </w:tcPr>
          <w:p w14:paraId="7FB160B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2" w:type="dxa"/>
            <w:noWrap/>
            <w:vAlign w:val="center"/>
            <w:hideMark/>
          </w:tcPr>
          <w:p w14:paraId="52D96357" w14:textId="0A53DD2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8C4E66E" w14:textId="4E58E8D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C9046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1.175,59</w:t>
            </w:r>
          </w:p>
        </w:tc>
        <w:tc>
          <w:tcPr>
            <w:tcW w:w="1417" w:type="dxa"/>
            <w:noWrap/>
            <w:vAlign w:val="center"/>
            <w:hideMark/>
          </w:tcPr>
          <w:p w14:paraId="1EBA690A" w14:textId="639267CA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5F0BC79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E045A0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3213</w:t>
            </w:r>
          </w:p>
        </w:tc>
        <w:tc>
          <w:tcPr>
            <w:tcW w:w="3353" w:type="dxa"/>
            <w:noWrap/>
            <w:hideMark/>
          </w:tcPr>
          <w:p w14:paraId="37FFA4B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Stručno usavršavanje zaposlenika</w:t>
            </w:r>
          </w:p>
        </w:tc>
        <w:tc>
          <w:tcPr>
            <w:tcW w:w="1472" w:type="dxa"/>
            <w:noWrap/>
            <w:vAlign w:val="center"/>
            <w:hideMark/>
          </w:tcPr>
          <w:p w14:paraId="655E4A28" w14:textId="43E8F2E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D4FC648" w14:textId="5ABBFC68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876AB9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572,07</w:t>
            </w:r>
          </w:p>
        </w:tc>
        <w:tc>
          <w:tcPr>
            <w:tcW w:w="1417" w:type="dxa"/>
            <w:noWrap/>
            <w:vAlign w:val="center"/>
            <w:hideMark/>
          </w:tcPr>
          <w:p w14:paraId="6BA2C927" w14:textId="02A4A619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CB6EE00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36B214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3221</w:t>
            </w:r>
          </w:p>
        </w:tc>
        <w:tc>
          <w:tcPr>
            <w:tcW w:w="3353" w:type="dxa"/>
            <w:noWrap/>
            <w:hideMark/>
          </w:tcPr>
          <w:p w14:paraId="1FE89B7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39A071E1" w14:textId="78CF163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B3D9C2E" w14:textId="3B944686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59D699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2.056,84</w:t>
            </w:r>
          </w:p>
        </w:tc>
        <w:tc>
          <w:tcPr>
            <w:tcW w:w="1417" w:type="dxa"/>
            <w:noWrap/>
            <w:vAlign w:val="center"/>
            <w:hideMark/>
          </w:tcPr>
          <w:p w14:paraId="62E81693" w14:textId="0184CE46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28910BF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5AC171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3223</w:t>
            </w:r>
          </w:p>
        </w:tc>
        <w:tc>
          <w:tcPr>
            <w:tcW w:w="3353" w:type="dxa"/>
            <w:noWrap/>
            <w:hideMark/>
          </w:tcPr>
          <w:p w14:paraId="15FE9FA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Energija</w:t>
            </w:r>
          </w:p>
        </w:tc>
        <w:tc>
          <w:tcPr>
            <w:tcW w:w="1472" w:type="dxa"/>
            <w:noWrap/>
            <w:vAlign w:val="center"/>
            <w:hideMark/>
          </w:tcPr>
          <w:p w14:paraId="643EA7E5" w14:textId="426256F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2BBF62D" w14:textId="51AF758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DFEB1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11.331,00</w:t>
            </w:r>
          </w:p>
        </w:tc>
        <w:tc>
          <w:tcPr>
            <w:tcW w:w="1417" w:type="dxa"/>
            <w:noWrap/>
            <w:vAlign w:val="center"/>
            <w:hideMark/>
          </w:tcPr>
          <w:p w14:paraId="1C4AF441" w14:textId="5EEA07F5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BA19BE5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B3D194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3224</w:t>
            </w:r>
          </w:p>
        </w:tc>
        <w:tc>
          <w:tcPr>
            <w:tcW w:w="3353" w:type="dxa"/>
            <w:noWrap/>
            <w:hideMark/>
          </w:tcPr>
          <w:p w14:paraId="31FF884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2" w:type="dxa"/>
            <w:noWrap/>
            <w:vAlign w:val="center"/>
            <w:hideMark/>
          </w:tcPr>
          <w:p w14:paraId="331C745F" w14:textId="533DC66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5A93328" w14:textId="03F0C33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1C6CC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3.564,76</w:t>
            </w:r>
          </w:p>
        </w:tc>
        <w:tc>
          <w:tcPr>
            <w:tcW w:w="1417" w:type="dxa"/>
            <w:noWrap/>
            <w:vAlign w:val="center"/>
            <w:hideMark/>
          </w:tcPr>
          <w:p w14:paraId="08861A0A" w14:textId="53401924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481CD1E7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EB3FB4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3225</w:t>
            </w:r>
          </w:p>
        </w:tc>
        <w:tc>
          <w:tcPr>
            <w:tcW w:w="3353" w:type="dxa"/>
            <w:noWrap/>
            <w:hideMark/>
          </w:tcPr>
          <w:p w14:paraId="79BCCC3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Sitni inventar i </w:t>
            </w:r>
            <w:proofErr w:type="spellStart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472" w:type="dxa"/>
            <w:noWrap/>
            <w:vAlign w:val="center"/>
            <w:hideMark/>
          </w:tcPr>
          <w:p w14:paraId="5AF2E42B" w14:textId="467D18F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3283A6F" w14:textId="4833F10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95694F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5.968,99</w:t>
            </w:r>
          </w:p>
        </w:tc>
        <w:tc>
          <w:tcPr>
            <w:tcW w:w="1417" w:type="dxa"/>
            <w:noWrap/>
            <w:vAlign w:val="center"/>
            <w:hideMark/>
          </w:tcPr>
          <w:p w14:paraId="799E4728" w14:textId="5D114A53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584BDB5D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89DD39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3227</w:t>
            </w:r>
          </w:p>
        </w:tc>
        <w:tc>
          <w:tcPr>
            <w:tcW w:w="3353" w:type="dxa"/>
            <w:noWrap/>
            <w:hideMark/>
          </w:tcPr>
          <w:p w14:paraId="39CA326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472" w:type="dxa"/>
            <w:noWrap/>
            <w:vAlign w:val="center"/>
            <w:hideMark/>
          </w:tcPr>
          <w:p w14:paraId="1CFB5868" w14:textId="0BB395C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17B44DA" w14:textId="0386D303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0D4C7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5.557,88</w:t>
            </w:r>
          </w:p>
        </w:tc>
        <w:tc>
          <w:tcPr>
            <w:tcW w:w="1417" w:type="dxa"/>
            <w:noWrap/>
            <w:vAlign w:val="center"/>
            <w:hideMark/>
          </w:tcPr>
          <w:p w14:paraId="163A5E99" w14:textId="7B5D4098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3535EB9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2705030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3231</w:t>
            </w:r>
          </w:p>
        </w:tc>
        <w:tc>
          <w:tcPr>
            <w:tcW w:w="3353" w:type="dxa"/>
            <w:noWrap/>
            <w:hideMark/>
          </w:tcPr>
          <w:p w14:paraId="0651BDD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Usluge telefona, </w:t>
            </w:r>
            <w:proofErr w:type="spellStart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interneta</w:t>
            </w:r>
            <w:proofErr w:type="spellEnd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, pošte i prijevoza</w:t>
            </w:r>
          </w:p>
        </w:tc>
        <w:tc>
          <w:tcPr>
            <w:tcW w:w="1472" w:type="dxa"/>
            <w:noWrap/>
            <w:vAlign w:val="center"/>
            <w:hideMark/>
          </w:tcPr>
          <w:p w14:paraId="08ECD7F2" w14:textId="6659BF0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125158A" w14:textId="1C025E70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6B8129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3.031,42</w:t>
            </w:r>
          </w:p>
        </w:tc>
        <w:tc>
          <w:tcPr>
            <w:tcW w:w="1417" w:type="dxa"/>
            <w:noWrap/>
            <w:vAlign w:val="center"/>
            <w:hideMark/>
          </w:tcPr>
          <w:p w14:paraId="5EAD30CC" w14:textId="4383FD61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581B58A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A2573F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3232</w:t>
            </w:r>
          </w:p>
        </w:tc>
        <w:tc>
          <w:tcPr>
            <w:tcW w:w="3353" w:type="dxa"/>
            <w:noWrap/>
            <w:hideMark/>
          </w:tcPr>
          <w:p w14:paraId="59DD7CC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2" w:type="dxa"/>
            <w:noWrap/>
            <w:vAlign w:val="center"/>
            <w:hideMark/>
          </w:tcPr>
          <w:p w14:paraId="2107C54B" w14:textId="21EDC1E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228852B" w14:textId="3935C01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89A1E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3.708,14</w:t>
            </w:r>
          </w:p>
        </w:tc>
        <w:tc>
          <w:tcPr>
            <w:tcW w:w="1417" w:type="dxa"/>
            <w:noWrap/>
            <w:vAlign w:val="center"/>
            <w:hideMark/>
          </w:tcPr>
          <w:p w14:paraId="66160319" w14:textId="399C5D50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0E5C917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33DEF0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3234</w:t>
            </w:r>
          </w:p>
        </w:tc>
        <w:tc>
          <w:tcPr>
            <w:tcW w:w="3353" w:type="dxa"/>
            <w:noWrap/>
            <w:hideMark/>
          </w:tcPr>
          <w:p w14:paraId="7A086A4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Komunalne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2FE264F0" w14:textId="5E17437D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B4723AE" w14:textId="3D850C65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330918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551,70</w:t>
            </w:r>
          </w:p>
        </w:tc>
        <w:tc>
          <w:tcPr>
            <w:tcW w:w="1417" w:type="dxa"/>
            <w:noWrap/>
            <w:vAlign w:val="center"/>
            <w:hideMark/>
          </w:tcPr>
          <w:p w14:paraId="494C5856" w14:textId="3EB48F31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477C0AA7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7FBAC2C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3236</w:t>
            </w:r>
          </w:p>
        </w:tc>
        <w:tc>
          <w:tcPr>
            <w:tcW w:w="3353" w:type="dxa"/>
            <w:noWrap/>
            <w:hideMark/>
          </w:tcPr>
          <w:p w14:paraId="4D08D32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Zdravstvene i veterinarske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6699375D" w14:textId="34394D71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EEDCD78" w14:textId="155CBE3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3F0308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91,00</w:t>
            </w:r>
          </w:p>
        </w:tc>
        <w:tc>
          <w:tcPr>
            <w:tcW w:w="1417" w:type="dxa"/>
            <w:noWrap/>
            <w:vAlign w:val="center"/>
            <w:hideMark/>
          </w:tcPr>
          <w:p w14:paraId="5082DD99" w14:textId="2FE62F6E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68719EB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FC3541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3237</w:t>
            </w:r>
          </w:p>
        </w:tc>
        <w:tc>
          <w:tcPr>
            <w:tcW w:w="3353" w:type="dxa"/>
            <w:noWrap/>
            <w:hideMark/>
          </w:tcPr>
          <w:p w14:paraId="437DCE1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Intelektualne i osobne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4C586375" w14:textId="21FA3FD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5EC5931" w14:textId="186FD840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2696E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7.167,00</w:t>
            </w:r>
          </w:p>
        </w:tc>
        <w:tc>
          <w:tcPr>
            <w:tcW w:w="1417" w:type="dxa"/>
            <w:noWrap/>
            <w:vAlign w:val="center"/>
            <w:hideMark/>
          </w:tcPr>
          <w:p w14:paraId="6E77D72F" w14:textId="2CB666A1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5B43FC48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BD0856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3238</w:t>
            </w:r>
          </w:p>
        </w:tc>
        <w:tc>
          <w:tcPr>
            <w:tcW w:w="3353" w:type="dxa"/>
            <w:noWrap/>
            <w:hideMark/>
          </w:tcPr>
          <w:p w14:paraId="299A955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Računalne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2A5EF030" w14:textId="15C7CB1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73117EA" w14:textId="2CC81CC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16F218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5.549,29</w:t>
            </w:r>
          </w:p>
        </w:tc>
        <w:tc>
          <w:tcPr>
            <w:tcW w:w="1417" w:type="dxa"/>
            <w:noWrap/>
            <w:vAlign w:val="center"/>
            <w:hideMark/>
          </w:tcPr>
          <w:p w14:paraId="2F65463A" w14:textId="6C8BF5E4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36244BF0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22E9DE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3239</w:t>
            </w:r>
          </w:p>
        </w:tc>
        <w:tc>
          <w:tcPr>
            <w:tcW w:w="3353" w:type="dxa"/>
            <w:noWrap/>
            <w:hideMark/>
          </w:tcPr>
          <w:p w14:paraId="616C394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Ostale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0FDE1F87" w14:textId="140416AC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76C4380" w14:textId="7BE66FF1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666DF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1.091,28</w:t>
            </w:r>
          </w:p>
        </w:tc>
        <w:tc>
          <w:tcPr>
            <w:tcW w:w="1417" w:type="dxa"/>
            <w:noWrap/>
            <w:vAlign w:val="center"/>
            <w:hideMark/>
          </w:tcPr>
          <w:p w14:paraId="4794E50F" w14:textId="50653000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8835B4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7C6E9C9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3292</w:t>
            </w:r>
          </w:p>
        </w:tc>
        <w:tc>
          <w:tcPr>
            <w:tcW w:w="3353" w:type="dxa"/>
            <w:noWrap/>
            <w:hideMark/>
          </w:tcPr>
          <w:p w14:paraId="3A79638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Premije osiguranja</w:t>
            </w:r>
          </w:p>
        </w:tc>
        <w:tc>
          <w:tcPr>
            <w:tcW w:w="1472" w:type="dxa"/>
            <w:noWrap/>
            <w:vAlign w:val="center"/>
            <w:hideMark/>
          </w:tcPr>
          <w:p w14:paraId="5DEB3D61" w14:textId="526157E0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49E9333" w14:textId="7B7518C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81C0A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7.001,38</w:t>
            </w:r>
          </w:p>
        </w:tc>
        <w:tc>
          <w:tcPr>
            <w:tcW w:w="1417" w:type="dxa"/>
            <w:noWrap/>
            <w:vAlign w:val="center"/>
            <w:hideMark/>
          </w:tcPr>
          <w:p w14:paraId="76C89830" w14:textId="54EF59B9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453FA80C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A90078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3293</w:t>
            </w:r>
          </w:p>
        </w:tc>
        <w:tc>
          <w:tcPr>
            <w:tcW w:w="3353" w:type="dxa"/>
            <w:noWrap/>
            <w:hideMark/>
          </w:tcPr>
          <w:p w14:paraId="627CAEC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Reprezentacija</w:t>
            </w:r>
          </w:p>
        </w:tc>
        <w:tc>
          <w:tcPr>
            <w:tcW w:w="1472" w:type="dxa"/>
            <w:noWrap/>
            <w:vAlign w:val="center"/>
            <w:hideMark/>
          </w:tcPr>
          <w:p w14:paraId="644952F1" w14:textId="56451D9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BFFDB2A" w14:textId="348C9E18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187BE8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280,35</w:t>
            </w:r>
          </w:p>
        </w:tc>
        <w:tc>
          <w:tcPr>
            <w:tcW w:w="1417" w:type="dxa"/>
            <w:noWrap/>
            <w:vAlign w:val="center"/>
            <w:hideMark/>
          </w:tcPr>
          <w:p w14:paraId="5FA482ED" w14:textId="7D51F35B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BB0D0E4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121F6C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3299</w:t>
            </w:r>
          </w:p>
        </w:tc>
        <w:tc>
          <w:tcPr>
            <w:tcW w:w="3353" w:type="dxa"/>
            <w:noWrap/>
            <w:hideMark/>
          </w:tcPr>
          <w:p w14:paraId="1F060EE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Ostali nespomenuti rashodi poslovanja</w:t>
            </w:r>
          </w:p>
        </w:tc>
        <w:tc>
          <w:tcPr>
            <w:tcW w:w="1472" w:type="dxa"/>
            <w:noWrap/>
            <w:vAlign w:val="center"/>
            <w:hideMark/>
          </w:tcPr>
          <w:p w14:paraId="4675C9F8" w14:textId="1199C4B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FD20F14" w14:textId="531BF9E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8993FE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190,00</w:t>
            </w:r>
          </w:p>
        </w:tc>
        <w:tc>
          <w:tcPr>
            <w:tcW w:w="1417" w:type="dxa"/>
            <w:noWrap/>
            <w:vAlign w:val="center"/>
            <w:hideMark/>
          </w:tcPr>
          <w:p w14:paraId="1A34EE90" w14:textId="4BF1F281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92C371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3912CA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353" w:type="dxa"/>
            <w:noWrap/>
            <w:hideMark/>
          </w:tcPr>
          <w:p w14:paraId="036B842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Financijski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4EB8779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10.600,00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5D0F65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10.600,00</w:t>
            </w:r>
          </w:p>
        </w:tc>
        <w:tc>
          <w:tcPr>
            <w:tcW w:w="1276" w:type="dxa"/>
            <w:noWrap/>
            <w:vAlign w:val="center"/>
            <w:hideMark/>
          </w:tcPr>
          <w:p w14:paraId="0C87EFB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10.551,92</w:t>
            </w:r>
          </w:p>
        </w:tc>
        <w:tc>
          <w:tcPr>
            <w:tcW w:w="1417" w:type="dxa"/>
            <w:noWrap/>
            <w:vAlign w:val="center"/>
            <w:hideMark/>
          </w:tcPr>
          <w:p w14:paraId="5604974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99,55%</w:t>
            </w:r>
          </w:p>
        </w:tc>
      </w:tr>
      <w:tr w:rsidR="00A75782" w:rsidRPr="00A75782" w14:paraId="3C01F88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6BA6F0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3422</w:t>
            </w:r>
          </w:p>
        </w:tc>
        <w:tc>
          <w:tcPr>
            <w:tcW w:w="3353" w:type="dxa"/>
            <w:noWrap/>
            <w:hideMark/>
          </w:tcPr>
          <w:p w14:paraId="09432BE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Kamate za primljene kredite i zajmove od kreditnih i ostalih financijskih institucija u javnom sekto</w:t>
            </w:r>
          </w:p>
        </w:tc>
        <w:tc>
          <w:tcPr>
            <w:tcW w:w="1472" w:type="dxa"/>
            <w:noWrap/>
            <w:vAlign w:val="center"/>
            <w:hideMark/>
          </w:tcPr>
          <w:p w14:paraId="70F90203" w14:textId="734E8B1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BCF141A" w14:textId="273C28A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42DB6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10.051,92</w:t>
            </w:r>
          </w:p>
        </w:tc>
        <w:tc>
          <w:tcPr>
            <w:tcW w:w="1417" w:type="dxa"/>
            <w:noWrap/>
            <w:vAlign w:val="center"/>
            <w:hideMark/>
          </w:tcPr>
          <w:p w14:paraId="09E89DFF" w14:textId="1BF10FDD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F2796E4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B499FC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3431</w:t>
            </w:r>
          </w:p>
        </w:tc>
        <w:tc>
          <w:tcPr>
            <w:tcW w:w="3353" w:type="dxa"/>
            <w:noWrap/>
            <w:hideMark/>
          </w:tcPr>
          <w:p w14:paraId="328331C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Bankarske usluge i usluge platnog prometa</w:t>
            </w:r>
          </w:p>
        </w:tc>
        <w:tc>
          <w:tcPr>
            <w:tcW w:w="1472" w:type="dxa"/>
            <w:noWrap/>
            <w:vAlign w:val="center"/>
            <w:hideMark/>
          </w:tcPr>
          <w:p w14:paraId="6E1906F0" w14:textId="49F0B3BC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12C241E" w14:textId="322C130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72615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  <w:tc>
          <w:tcPr>
            <w:tcW w:w="1417" w:type="dxa"/>
            <w:noWrap/>
            <w:vAlign w:val="center"/>
            <w:hideMark/>
          </w:tcPr>
          <w:p w14:paraId="300D73FE" w14:textId="09FA5254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CD7DCE7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7B1F3FE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53" w:type="dxa"/>
            <w:noWrap/>
            <w:hideMark/>
          </w:tcPr>
          <w:p w14:paraId="78E3B24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2" w:type="dxa"/>
            <w:noWrap/>
            <w:vAlign w:val="center"/>
            <w:hideMark/>
          </w:tcPr>
          <w:p w14:paraId="523AFF2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C5C096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17.000,00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31E2C7F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15.635,00</w:t>
            </w:r>
          </w:p>
        </w:tc>
        <w:tc>
          <w:tcPr>
            <w:tcW w:w="1417" w:type="dxa"/>
            <w:noWrap/>
            <w:vAlign w:val="center"/>
            <w:hideMark/>
          </w:tcPr>
          <w:p w14:paraId="641ECE29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91,97%</w:t>
            </w:r>
          </w:p>
        </w:tc>
      </w:tr>
      <w:tr w:rsidR="00A75782" w:rsidRPr="00A75782" w14:paraId="3630069F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B98769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4222</w:t>
            </w:r>
          </w:p>
        </w:tc>
        <w:tc>
          <w:tcPr>
            <w:tcW w:w="3353" w:type="dxa"/>
            <w:noWrap/>
            <w:hideMark/>
          </w:tcPr>
          <w:p w14:paraId="4309696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Komunikacijska oprema</w:t>
            </w:r>
          </w:p>
        </w:tc>
        <w:tc>
          <w:tcPr>
            <w:tcW w:w="1472" w:type="dxa"/>
            <w:noWrap/>
            <w:vAlign w:val="center"/>
            <w:hideMark/>
          </w:tcPr>
          <w:p w14:paraId="5B1C5367" w14:textId="5FE3DF2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8B873DA" w14:textId="43F561B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415F7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5.723,75</w:t>
            </w:r>
          </w:p>
        </w:tc>
        <w:tc>
          <w:tcPr>
            <w:tcW w:w="1417" w:type="dxa"/>
            <w:noWrap/>
            <w:vAlign w:val="center"/>
            <w:hideMark/>
          </w:tcPr>
          <w:p w14:paraId="71F74571" w14:textId="6335071A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FAF97EF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494E59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4223</w:t>
            </w:r>
          </w:p>
        </w:tc>
        <w:tc>
          <w:tcPr>
            <w:tcW w:w="3353" w:type="dxa"/>
            <w:noWrap/>
            <w:hideMark/>
          </w:tcPr>
          <w:p w14:paraId="3F39A64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Oprema za održavanje i zaštitu</w:t>
            </w:r>
          </w:p>
        </w:tc>
        <w:tc>
          <w:tcPr>
            <w:tcW w:w="1472" w:type="dxa"/>
            <w:noWrap/>
            <w:vAlign w:val="center"/>
            <w:hideMark/>
          </w:tcPr>
          <w:p w14:paraId="21ABECDF" w14:textId="37B2954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BAAF802" w14:textId="5916936C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8F94C2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9.911,25</w:t>
            </w:r>
          </w:p>
        </w:tc>
        <w:tc>
          <w:tcPr>
            <w:tcW w:w="1417" w:type="dxa"/>
            <w:noWrap/>
            <w:vAlign w:val="center"/>
            <w:hideMark/>
          </w:tcPr>
          <w:p w14:paraId="1EEA5AF1" w14:textId="045E5F31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6C4025D3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E54FFD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3353" w:type="dxa"/>
            <w:noWrap/>
            <w:hideMark/>
          </w:tcPr>
          <w:p w14:paraId="7DE8AB4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72" w:type="dxa"/>
            <w:noWrap/>
            <w:vAlign w:val="center"/>
            <w:hideMark/>
          </w:tcPr>
          <w:p w14:paraId="6200D05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46.000,00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4465188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46.000,00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28B2AEC4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45.042,10</w:t>
            </w:r>
          </w:p>
        </w:tc>
        <w:tc>
          <w:tcPr>
            <w:tcW w:w="1417" w:type="dxa"/>
            <w:noWrap/>
            <w:vAlign w:val="center"/>
            <w:hideMark/>
          </w:tcPr>
          <w:p w14:paraId="69E75F4E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97,92%</w:t>
            </w:r>
          </w:p>
        </w:tc>
      </w:tr>
      <w:tr w:rsidR="00A75782" w:rsidRPr="00A75782" w14:paraId="27F45C46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BEA345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5443</w:t>
            </w:r>
          </w:p>
        </w:tc>
        <w:tc>
          <w:tcPr>
            <w:tcW w:w="3353" w:type="dxa"/>
            <w:noWrap/>
            <w:hideMark/>
          </w:tcPr>
          <w:p w14:paraId="32E5982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Otplata glavnice primljenih kredita od tuzemnih kreditnih institucija izvan javnog sektora</w:t>
            </w:r>
          </w:p>
        </w:tc>
        <w:tc>
          <w:tcPr>
            <w:tcW w:w="1472" w:type="dxa"/>
            <w:noWrap/>
            <w:vAlign w:val="center"/>
            <w:hideMark/>
          </w:tcPr>
          <w:p w14:paraId="2D0A3D99" w14:textId="5222780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CE9E9F9" w14:textId="0F630CD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C1FC0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45.042,10</w:t>
            </w:r>
          </w:p>
        </w:tc>
        <w:tc>
          <w:tcPr>
            <w:tcW w:w="1417" w:type="dxa"/>
            <w:noWrap/>
            <w:vAlign w:val="center"/>
            <w:hideMark/>
          </w:tcPr>
          <w:p w14:paraId="10EE7B14" w14:textId="3376A01C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0AD849A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518C5F0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2" w:type="dxa"/>
            <w:noWrap/>
            <w:vAlign w:val="center"/>
            <w:hideMark/>
          </w:tcPr>
          <w:p w14:paraId="1126B58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50E22E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276" w:type="dxa"/>
            <w:noWrap/>
            <w:vAlign w:val="center"/>
            <w:hideMark/>
          </w:tcPr>
          <w:p w14:paraId="5A5CE5B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417" w:type="dxa"/>
            <w:noWrap/>
            <w:vAlign w:val="center"/>
            <w:hideMark/>
          </w:tcPr>
          <w:p w14:paraId="38E62887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A75782" w:rsidRPr="00A75782" w14:paraId="5F8D74AC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60778FE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3.2. Vlastiti prihodi</w:t>
            </w:r>
          </w:p>
        </w:tc>
        <w:tc>
          <w:tcPr>
            <w:tcW w:w="1472" w:type="dxa"/>
            <w:noWrap/>
            <w:vAlign w:val="center"/>
            <w:hideMark/>
          </w:tcPr>
          <w:p w14:paraId="65D81A0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28.345,35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E6C916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29.240,79</w:t>
            </w:r>
          </w:p>
        </w:tc>
        <w:tc>
          <w:tcPr>
            <w:tcW w:w="1276" w:type="dxa"/>
            <w:noWrap/>
            <w:vAlign w:val="center"/>
            <w:hideMark/>
          </w:tcPr>
          <w:p w14:paraId="16141CF4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5.856,84</w:t>
            </w:r>
          </w:p>
        </w:tc>
        <w:tc>
          <w:tcPr>
            <w:tcW w:w="1417" w:type="dxa"/>
            <w:noWrap/>
            <w:vAlign w:val="center"/>
            <w:hideMark/>
          </w:tcPr>
          <w:p w14:paraId="1CA77703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20,03%</w:t>
            </w:r>
          </w:p>
        </w:tc>
      </w:tr>
      <w:tr w:rsidR="00A75782" w:rsidRPr="00A75782" w14:paraId="0F395F1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530AED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353" w:type="dxa"/>
            <w:noWrap/>
            <w:hideMark/>
          </w:tcPr>
          <w:p w14:paraId="27B04F2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31D8D42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8.100,35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650696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9.000,79</w:t>
            </w:r>
          </w:p>
        </w:tc>
        <w:tc>
          <w:tcPr>
            <w:tcW w:w="1276" w:type="dxa"/>
            <w:noWrap/>
            <w:vAlign w:val="center"/>
            <w:hideMark/>
          </w:tcPr>
          <w:p w14:paraId="35E7C6C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5.687,16</w:t>
            </w:r>
          </w:p>
        </w:tc>
        <w:tc>
          <w:tcPr>
            <w:tcW w:w="1417" w:type="dxa"/>
            <w:noWrap/>
            <w:vAlign w:val="center"/>
            <w:hideMark/>
          </w:tcPr>
          <w:p w14:paraId="17C22CB2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63,19%</w:t>
            </w:r>
          </w:p>
        </w:tc>
      </w:tr>
      <w:tr w:rsidR="00A75782" w:rsidRPr="00A75782" w14:paraId="0187192F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27A9AE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3225</w:t>
            </w:r>
          </w:p>
        </w:tc>
        <w:tc>
          <w:tcPr>
            <w:tcW w:w="3353" w:type="dxa"/>
            <w:noWrap/>
            <w:hideMark/>
          </w:tcPr>
          <w:p w14:paraId="1494603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Sitni inventar i </w:t>
            </w:r>
            <w:proofErr w:type="spellStart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autogume</w:t>
            </w:r>
            <w:proofErr w:type="spellEnd"/>
          </w:p>
        </w:tc>
        <w:tc>
          <w:tcPr>
            <w:tcW w:w="1472" w:type="dxa"/>
            <w:noWrap/>
            <w:vAlign w:val="center"/>
            <w:hideMark/>
          </w:tcPr>
          <w:p w14:paraId="1B3BD37B" w14:textId="65F16B33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12CE3AF" w14:textId="79AA7976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278DC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2.763,87</w:t>
            </w:r>
          </w:p>
        </w:tc>
        <w:tc>
          <w:tcPr>
            <w:tcW w:w="1417" w:type="dxa"/>
            <w:noWrap/>
            <w:vAlign w:val="center"/>
            <w:hideMark/>
          </w:tcPr>
          <w:p w14:paraId="1277305D" w14:textId="68E92CAF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89EA08D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77D2D0D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3227</w:t>
            </w:r>
          </w:p>
        </w:tc>
        <w:tc>
          <w:tcPr>
            <w:tcW w:w="3353" w:type="dxa"/>
            <w:noWrap/>
            <w:hideMark/>
          </w:tcPr>
          <w:p w14:paraId="6DA2BF6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472" w:type="dxa"/>
            <w:noWrap/>
            <w:vAlign w:val="center"/>
            <w:hideMark/>
          </w:tcPr>
          <w:p w14:paraId="17953FC3" w14:textId="1C02A053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3BBECFC" w14:textId="2BCD5EC1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B7F74E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1.085,58</w:t>
            </w:r>
          </w:p>
        </w:tc>
        <w:tc>
          <w:tcPr>
            <w:tcW w:w="1417" w:type="dxa"/>
            <w:noWrap/>
            <w:vAlign w:val="center"/>
            <w:hideMark/>
          </w:tcPr>
          <w:p w14:paraId="13B3ED2D" w14:textId="54641F99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2F26194B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4FE47D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3234</w:t>
            </w:r>
          </w:p>
        </w:tc>
        <w:tc>
          <w:tcPr>
            <w:tcW w:w="3353" w:type="dxa"/>
            <w:noWrap/>
            <w:hideMark/>
          </w:tcPr>
          <w:p w14:paraId="1A16A49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Komunalne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71B562D6" w14:textId="00B8DA59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69DA31A" w14:textId="4E9D3FB4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8703E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75,65</w:t>
            </w:r>
          </w:p>
        </w:tc>
        <w:tc>
          <w:tcPr>
            <w:tcW w:w="1417" w:type="dxa"/>
            <w:noWrap/>
            <w:vAlign w:val="center"/>
            <w:hideMark/>
          </w:tcPr>
          <w:p w14:paraId="6EAE48A7" w14:textId="201D0B3F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BAE8DD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4F96BC5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3239</w:t>
            </w:r>
          </w:p>
        </w:tc>
        <w:tc>
          <w:tcPr>
            <w:tcW w:w="3353" w:type="dxa"/>
            <w:noWrap/>
            <w:hideMark/>
          </w:tcPr>
          <w:p w14:paraId="64C38D7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Ostale usluge</w:t>
            </w:r>
          </w:p>
        </w:tc>
        <w:tc>
          <w:tcPr>
            <w:tcW w:w="1472" w:type="dxa"/>
            <w:noWrap/>
            <w:vAlign w:val="center"/>
            <w:hideMark/>
          </w:tcPr>
          <w:p w14:paraId="3D1651B0" w14:textId="01A1BF2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C48AFC5" w14:textId="352EE32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8BE27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542,68</w:t>
            </w:r>
          </w:p>
        </w:tc>
        <w:tc>
          <w:tcPr>
            <w:tcW w:w="1417" w:type="dxa"/>
            <w:noWrap/>
            <w:vAlign w:val="center"/>
            <w:hideMark/>
          </w:tcPr>
          <w:p w14:paraId="307B0D00" w14:textId="1545417D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69EDAE0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949DC1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3292</w:t>
            </w:r>
          </w:p>
        </w:tc>
        <w:tc>
          <w:tcPr>
            <w:tcW w:w="3353" w:type="dxa"/>
            <w:noWrap/>
            <w:hideMark/>
          </w:tcPr>
          <w:p w14:paraId="618CF42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Premije osiguranja</w:t>
            </w:r>
          </w:p>
        </w:tc>
        <w:tc>
          <w:tcPr>
            <w:tcW w:w="1472" w:type="dxa"/>
            <w:noWrap/>
            <w:vAlign w:val="center"/>
            <w:hideMark/>
          </w:tcPr>
          <w:p w14:paraId="777F9D43" w14:textId="62CE3566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75C10168" w14:textId="1BE37FA8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85FEC8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1.102,40</w:t>
            </w:r>
          </w:p>
        </w:tc>
        <w:tc>
          <w:tcPr>
            <w:tcW w:w="1417" w:type="dxa"/>
            <w:noWrap/>
            <w:vAlign w:val="center"/>
            <w:hideMark/>
          </w:tcPr>
          <w:p w14:paraId="63024A6A" w14:textId="1CEE0478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30257809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83108E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3293</w:t>
            </w:r>
          </w:p>
        </w:tc>
        <w:tc>
          <w:tcPr>
            <w:tcW w:w="3353" w:type="dxa"/>
            <w:noWrap/>
            <w:hideMark/>
          </w:tcPr>
          <w:p w14:paraId="6C2F55B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Reprezentacija</w:t>
            </w:r>
          </w:p>
        </w:tc>
        <w:tc>
          <w:tcPr>
            <w:tcW w:w="1472" w:type="dxa"/>
            <w:noWrap/>
            <w:vAlign w:val="center"/>
            <w:hideMark/>
          </w:tcPr>
          <w:p w14:paraId="6EF8387A" w14:textId="01A519EA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39B88D8" w14:textId="35DFDD3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DDAF4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64,00</w:t>
            </w:r>
          </w:p>
        </w:tc>
        <w:tc>
          <w:tcPr>
            <w:tcW w:w="1417" w:type="dxa"/>
            <w:noWrap/>
            <w:vAlign w:val="center"/>
            <w:hideMark/>
          </w:tcPr>
          <w:p w14:paraId="139AAE82" w14:textId="722E41F0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EBA9178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7CC39F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3295</w:t>
            </w:r>
          </w:p>
        </w:tc>
        <w:tc>
          <w:tcPr>
            <w:tcW w:w="3353" w:type="dxa"/>
            <w:noWrap/>
            <w:hideMark/>
          </w:tcPr>
          <w:p w14:paraId="40D9A76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Pristojbe i naknade</w:t>
            </w:r>
          </w:p>
        </w:tc>
        <w:tc>
          <w:tcPr>
            <w:tcW w:w="1472" w:type="dxa"/>
            <w:noWrap/>
            <w:vAlign w:val="center"/>
            <w:hideMark/>
          </w:tcPr>
          <w:p w14:paraId="78F8FED9" w14:textId="6836F540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355CD83" w14:textId="1F6B953C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B9C5A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52,98</w:t>
            </w:r>
          </w:p>
        </w:tc>
        <w:tc>
          <w:tcPr>
            <w:tcW w:w="1417" w:type="dxa"/>
            <w:noWrap/>
            <w:vAlign w:val="center"/>
            <w:hideMark/>
          </w:tcPr>
          <w:p w14:paraId="2AE14255" w14:textId="73A485ED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F7A4506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330284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353" w:type="dxa"/>
            <w:noWrap/>
            <w:hideMark/>
          </w:tcPr>
          <w:p w14:paraId="3984F14C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Financijski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3C29C67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9B0164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300,00</w:t>
            </w:r>
          </w:p>
        </w:tc>
        <w:tc>
          <w:tcPr>
            <w:tcW w:w="1276" w:type="dxa"/>
            <w:noWrap/>
            <w:vAlign w:val="center"/>
            <w:hideMark/>
          </w:tcPr>
          <w:p w14:paraId="63547BF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169,68</w:t>
            </w:r>
          </w:p>
        </w:tc>
        <w:tc>
          <w:tcPr>
            <w:tcW w:w="1417" w:type="dxa"/>
            <w:noWrap/>
            <w:vAlign w:val="center"/>
            <w:hideMark/>
          </w:tcPr>
          <w:p w14:paraId="3B246D1A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56,</w:t>
            </w:r>
            <w:proofErr w:type="spellStart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proofErr w:type="spellEnd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A75782" w:rsidRPr="00A75782" w14:paraId="62ACF07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6D8755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3431</w:t>
            </w:r>
          </w:p>
        </w:tc>
        <w:tc>
          <w:tcPr>
            <w:tcW w:w="3353" w:type="dxa"/>
            <w:noWrap/>
            <w:hideMark/>
          </w:tcPr>
          <w:p w14:paraId="491B58C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Bankarske usluge i usluge platnog prometa</w:t>
            </w:r>
          </w:p>
        </w:tc>
        <w:tc>
          <w:tcPr>
            <w:tcW w:w="1472" w:type="dxa"/>
            <w:noWrap/>
            <w:vAlign w:val="center"/>
            <w:hideMark/>
          </w:tcPr>
          <w:p w14:paraId="3929F55B" w14:textId="7D48D15F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9B671D6" w14:textId="6D951AA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39E70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169,68</w:t>
            </w:r>
          </w:p>
        </w:tc>
        <w:tc>
          <w:tcPr>
            <w:tcW w:w="1417" w:type="dxa"/>
            <w:noWrap/>
            <w:vAlign w:val="center"/>
            <w:hideMark/>
          </w:tcPr>
          <w:p w14:paraId="53619C10" w14:textId="09B2CB1D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20E85384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FC7570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53" w:type="dxa"/>
            <w:noWrap/>
            <w:hideMark/>
          </w:tcPr>
          <w:p w14:paraId="3D615AD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2" w:type="dxa"/>
            <w:noWrap/>
            <w:vAlign w:val="center"/>
            <w:hideMark/>
          </w:tcPr>
          <w:p w14:paraId="5AE6BAA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19.945,00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0937C9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19.940,00</w:t>
            </w:r>
          </w:p>
        </w:tc>
        <w:tc>
          <w:tcPr>
            <w:tcW w:w="1276" w:type="dxa"/>
            <w:noWrap/>
            <w:vAlign w:val="center"/>
            <w:hideMark/>
          </w:tcPr>
          <w:p w14:paraId="1520C57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5434630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</w:tr>
      <w:tr w:rsidR="00A75782" w:rsidRPr="00A75782" w14:paraId="061857CE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23DB7BB" w14:textId="6DC0585C" w:rsidR="00A75782" w:rsidRPr="00A75782" w:rsidRDefault="00A75782" w:rsidP="003161C7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 Prih</w:t>
            </w:r>
            <w:r w:rsidR="00316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 za posebne namjene</w:t>
            </w:r>
          </w:p>
        </w:tc>
        <w:tc>
          <w:tcPr>
            <w:tcW w:w="1472" w:type="dxa"/>
            <w:noWrap/>
            <w:vAlign w:val="center"/>
            <w:hideMark/>
          </w:tcPr>
          <w:p w14:paraId="64BE2BC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EA2E0B0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276" w:type="dxa"/>
            <w:noWrap/>
            <w:vAlign w:val="center"/>
            <w:hideMark/>
          </w:tcPr>
          <w:p w14:paraId="7992A6E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417" w:type="dxa"/>
            <w:noWrap/>
            <w:vAlign w:val="center"/>
            <w:hideMark/>
          </w:tcPr>
          <w:p w14:paraId="0A19427C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A75782" w:rsidRPr="00A75782" w14:paraId="5B79A9ED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E152F0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4.3. Ostali prihodi za posebne namjene</w:t>
            </w:r>
          </w:p>
        </w:tc>
        <w:tc>
          <w:tcPr>
            <w:tcW w:w="1472" w:type="dxa"/>
            <w:noWrap/>
            <w:vAlign w:val="center"/>
            <w:hideMark/>
          </w:tcPr>
          <w:p w14:paraId="2DBA31E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310.384,00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B1854C3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276" w:type="dxa"/>
            <w:noWrap/>
            <w:vAlign w:val="center"/>
            <w:hideMark/>
          </w:tcPr>
          <w:p w14:paraId="4F78966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332.143,42</w:t>
            </w:r>
          </w:p>
        </w:tc>
        <w:tc>
          <w:tcPr>
            <w:tcW w:w="1417" w:type="dxa"/>
            <w:noWrap/>
            <w:vAlign w:val="center"/>
            <w:hideMark/>
          </w:tcPr>
          <w:p w14:paraId="602DE36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A75782" w:rsidRPr="00A75782" w14:paraId="1A359846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8A3F74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353" w:type="dxa"/>
            <w:noWrap/>
            <w:hideMark/>
          </w:tcPr>
          <w:p w14:paraId="7552307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zaposlene</w:t>
            </w:r>
          </w:p>
        </w:tc>
        <w:tc>
          <w:tcPr>
            <w:tcW w:w="1472" w:type="dxa"/>
            <w:noWrap/>
            <w:vAlign w:val="center"/>
            <w:hideMark/>
          </w:tcPr>
          <w:p w14:paraId="6D1A1E9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241.384,00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E158810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297.143,42</w:t>
            </w:r>
          </w:p>
        </w:tc>
        <w:tc>
          <w:tcPr>
            <w:tcW w:w="1276" w:type="dxa"/>
            <w:noWrap/>
            <w:vAlign w:val="center"/>
            <w:hideMark/>
          </w:tcPr>
          <w:p w14:paraId="3B11A09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297.143,42</w:t>
            </w:r>
          </w:p>
        </w:tc>
        <w:tc>
          <w:tcPr>
            <w:tcW w:w="1417" w:type="dxa"/>
            <w:noWrap/>
            <w:vAlign w:val="center"/>
            <w:hideMark/>
          </w:tcPr>
          <w:p w14:paraId="2E4B4F7F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  <w:tr w:rsidR="00A75782" w:rsidRPr="00A75782" w14:paraId="6051E4C1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75834A59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3111</w:t>
            </w:r>
          </w:p>
        </w:tc>
        <w:tc>
          <w:tcPr>
            <w:tcW w:w="3353" w:type="dxa"/>
            <w:noWrap/>
            <w:hideMark/>
          </w:tcPr>
          <w:p w14:paraId="48C83D68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Plaće za redovan rad</w:t>
            </w:r>
          </w:p>
        </w:tc>
        <w:tc>
          <w:tcPr>
            <w:tcW w:w="1472" w:type="dxa"/>
            <w:noWrap/>
            <w:vAlign w:val="center"/>
            <w:hideMark/>
          </w:tcPr>
          <w:p w14:paraId="44E88909" w14:textId="0C2C5D4D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27DDF856" w14:textId="1D04045A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8CBB7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238.999,42</w:t>
            </w:r>
          </w:p>
        </w:tc>
        <w:tc>
          <w:tcPr>
            <w:tcW w:w="1417" w:type="dxa"/>
            <w:noWrap/>
            <w:vAlign w:val="center"/>
            <w:hideMark/>
          </w:tcPr>
          <w:p w14:paraId="77004487" w14:textId="2B26CE4F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09DEE18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04CDF8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3131</w:t>
            </w:r>
          </w:p>
        </w:tc>
        <w:tc>
          <w:tcPr>
            <w:tcW w:w="3353" w:type="dxa"/>
            <w:noWrap/>
            <w:hideMark/>
          </w:tcPr>
          <w:p w14:paraId="0027AD5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Doprinosi za mirovinsko osiguranje za staž s povećanim trajanjem</w:t>
            </w:r>
          </w:p>
        </w:tc>
        <w:tc>
          <w:tcPr>
            <w:tcW w:w="1472" w:type="dxa"/>
            <w:noWrap/>
            <w:vAlign w:val="center"/>
            <w:hideMark/>
          </w:tcPr>
          <w:p w14:paraId="0D3182AE" w14:textId="3E27BF1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F6EF6CC" w14:textId="15D9EF3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EFED10F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18.717,00</w:t>
            </w:r>
          </w:p>
        </w:tc>
        <w:tc>
          <w:tcPr>
            <w:tcW w:w="1417" w:type="dxa"/>
            <w:noWrap/>
            <w:vAlign w:val="center"/>
            <w:hideMark/>
          </w:tcPr>
          <w:p w14:paraId="30A6F8A7" w14:textId="0AC57E13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3D2F849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1517262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3132</w:t>
            </w:r>
          </w:p>
        </w:tc>
        <w:tc>
          <w:tcPr>
            <w:tcW w:w="3353" w:type="dxa"/>
            <w:noWrap/>
            <w:hideMark/>
          </w:tcPr>
          <w:p w14:paraId="341F19F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Doprinosi za obvezno zdravstveno osiguranje</w:t>
            </w:r>
          </w:p>
        </w:tc>
        <w:tc>
          <w:tcPr>
            <w:tcW w:w="1472" w:type="dxa"/>
            <w:noWrap/>
            <w:vAlign w:val="center"/>
            <w:hideMark/>
          </w:tcPr>
          <w:p w14:paraId="28338E8B" w14:textId="64BB6E2B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CF0295C" w14:textId="057E4942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46F977A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39.427,00</w:t>
            </w:r>
          </w:p>
        </w:tc>
        <w:tc>
          <w:tcPr>
            <w:tcW w:w="1417" w:type="dxa"/>
            <w:noWrap/>
            <w:vAlign w:val="center"/>
            <w:hideMark/>
          </w:tcPr>
          <w:p w14:paraId="4812C9C2" w14:textId="55825C6B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72AB77E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2A04A4D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353" w:type="dxa"/>
            <w:noWrap/>
            <w:hideMark/>
          </w:tcPr>
          <w:p w14:paraId="6A4F5D0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01B1262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411274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211D378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8E7E0E4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100,00%</w:t>
            </w:r>
          </w:p>
        </w:tc>
      </w:tr>
      <w:tr w:rsidR="00A75782" w:rsidRPr="00A75782" w14:paraId="03760583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7DC5F1A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3223</w:t>
            </w:r>
          </w:p>
        </w:tc>
        <w:tc>
          <w:tcPr>
            <w:tcW w:w="3353" w:type="dxa"/>
            <w:noWrap/>
            <w:hideMark/>
          </w:tcPr>
          <w:p w14:paraId="3C393BC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Energija</w:t>
            </w:r>
          </w:p>
        </w:tc>
        <w:tc>
          <w:tcPr>
            <w:tcW w:w="1472" w:type="dxa"/>
            <w:noWrap/>
            <w:vAlign w:val="center"/>
            <w:hideMark/>
          </w:tcPr>
          <w:p w14:paraId="7AB6A771" w14:textId="58CD101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C4280B4" w14:textId="4DEF152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504D8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11.000,00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59BB59EF" w14:textId="05205396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0F600293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56850ED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3231</w:t>
            </w:r>
          </w:p>
        </w:tc>
        <w:tc>
          <w:tcPr>
            <w:tcW w:w="3353" w:type="dxa"/>
            <w:noWrap/>
            <w:hideMark/>
          </w:tcPr>
          <w:p w14:paraId="499679BC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Usluge telefona, </w:t>
            </w:r>
            <w:proofErr w:type="spellStart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interneta</w:t>
            </w:r>
            <w:proofErr w:type="spellEnd"/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, pošte i prijevoza</w:t>
            </w:r>
          </w:p>
        </w:tc>
        <w:tc>
          <w:tcPr>
            <w:tcW w:w="1472" w:type="dxa"/>
            <w:noWrap/>
            <w:vAlign w:val="center"/>
            <w:hideMark/>
          </w:tcPr>
          <w:p w14:paraId="2CC90D45" w14:textId="680B47FE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80EE017" w14:textId="13D5B86A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B7ABE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8.000,00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A4A4C5A" w14:textId="44334562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1F5EAA52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E4F83E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3232</w:t>
            </w:r>
          </w:p>
        </w:tc>
        <w:tc>
          <w:tcPr>
            <w:tcW w:w="3353" w:type="dxa"/>
            <w:noWrap/>
            <w:hideMark/>
          </w:tcPr>
          <w:p w14:paraId="1B84759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2" w:type="dxa"/>
            <w:noWrap/>
            <w:vAlign w:val="center"/>
            <w:hideMark/>
          </w:tcPr>
          <w:p w14:paraId="439EC8B7" w14:textId="09106585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D86DF2F" w14:textId="55135CD5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2CEB9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16.000,00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56A758" w14:textId="7DF99AA9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2B5276EA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059C6DB6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53" w:type="dxa"/>
            <w:noWrap/>
            <w:hideMark/>
          </w:tcPr>
          <w:p w14:paraId="5D299F41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2" w:type="dxa"/>
            <w:noWrap/>
            <w:vAlign w:val="center"/>
            <w:hideMark/>
          </w:tcPr>
          <w:p w14:paraId="20CF6D0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17.000,00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5096C5B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14:paraId="432CCAD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86E5227" w14:textId="6BAF5255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5782" w:rsidRPr="00A75782" w14:paraId="3ECF08CD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03EF43E2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2" w:type="dxa"/>
            <w:noWrap/>
            <w:vAlign w:val="center"/>
            <w:hideMark/>
          </w:tcPr>
          <w:p w14:paraId="0D0BE9DB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D17253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1BFC753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3F29B9F0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5F8BD322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039C154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Izvor 5.4. Pomoći za proračunske korisnike</w:t>
            </w:r>
          </w:p>
        </w:tc>
        <w:tc>
          <w:tcPr>
            <w:tcW w:w="1472" w:type="dxa"/>
            <w:noWrap/>
            <w:vAlign w:val="center"/>
            <w:hideMark/>
          </w:tcPr>
          <w:p w14:paraId="12BA693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4642C1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61FB590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029314A6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72F90128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4A1A12B0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53" w:type="dxa"/>
            <w:noWrap/>
            <w:hideMark/>
          </w:tcPr>
          <w:p w14:paraId="654BBE3B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2" w:type="dxa"/>
            <w:noWrap/>
            <w:vAlign w:val="center"/>
            <w:hideMark/>
          </w:tcPr>
          <w:p w14:paraId="25CDC48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61F9933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2.000,00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3E91577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68D5F3DB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</w:tr>
      <w:tr w:rsidR="00A75782" w:rsidRPr="00A75782" w14:paraId="2F9FDE89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1A89A97F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 Pomoći</w:t>
            </w:r>
          </w:p>
        </w:tc>
        <w:tc>
          <w:tcPr>
            <w:tcW w:w="1472" w:type="dxa"/>
            <w:noWrap/>
            <w:vAlign w:val="center"/>
            <w:hideMark/>
          </w:tcPr>
          <w:p w14:paraId="2E383F69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3EE5638E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01291236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1FAC4A01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3ABF5E87" w14:textId="77777777" w:rsidTr="00D53BFC">
        <w:trPr>
          <w:trHeight w:val="300"/>
        </w:trPr>
        <w:tc>
          <w:tcPr>
            <w:tcW w:w="5103" w:type="dxa"/>
            <w:gridSpan w:val="2"/>
            <w:noWrap/>
            <w:hideMark/>
          </w:tcPr>
          <w:p w14:paraId="73688335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 6.4. Donacije za proračunske korisnike</w:t>
            </w:r>
          </w:p>
        </w:tc>
        <w:tc>
          <w:tcPr>
            <w:tcW w:w="1472" w:type="dxa"/>
            <w:noWrap/>
            <w:vAlign w:val="center"/>
            <w:hideMark/>
          </w:tcPr>
          <w:p w14:paraId="0B7E6AE7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0BD7C550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6FB933AD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2F0054BB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A75782" w:rsidRPr="00A75782" w14:paraId="5D06BE19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6A3C1CFC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353" w:type="dxa"/>
            <w:noWrap/>
            <w:hideMark/>
          </w:tcPr>
          <w:p w14:paraId="1F30F047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1472" w:type="dxa"/>
            <w:noWrap/>
            <w:vAlign w:val="center"/>
            <w:hideMark/>
          </w:tcPr>
          <w:p w14:paraId="337E898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186E6FDC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5FC61BC5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4E242E08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</w:tr>
      <w:tr w:rsidR="00A75782" w:rsidRPr="00A75782" w14:paraId="1283BF15" w14:textId="77777777" w:rsidTr="00D53BFC">
        <w:trPr>
          <w:trHeight w:val="300"/>
        </w:trPr>
        <w:tc>
          <w:tcPr>
            <w:tcW w:w="1750" w:type="dxa"/>
            <w:noWrap/>
            <w:hideMark/>
          </w:tcPr>
          <w:p w14:paraId="305DD29E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353" w:type="dxa"/>
            <w:noWrap/>
            <w:hideMark/>
          </w:tcPr>
          <w:p w14:paraId="1A65D4C3" w14:textId="77777777" w:rsidR="00A75782" w:rsidRPr="00A75782" w:rsidRDefault="00A75782" w:rsidP="00A75782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2" w:type="dxa"/>
            <w:noWrap/>
            <w:vAlign w:val="center"/>
            <w:hideMark/>
          </w:tcPr>
          <w:p w14:paraId="4F9FFCC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4.000,00</w:t>
            </w:r>
          </w:p>
        </w:tc>
        <w:tc>
          <w:tcPr>
            <w:tcW w:w="1266" w:type="dxa"/>
            <w:gridSpan w:val="2"/>
            <w:noWrap/>
            <w:vAlign w:val="center"/>
            <w:hideMark/>
          </w:tcPr>
          <w:p w14:paraId="47B04FA1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4.000,00</w:t>
            </w:r>
          </w:p>
        </w:tc>
        <w:tc>
          <w:tcPr>
            <w:tcW w:w="1276" w:type="dxa"/>
            <w:noWrap/>
            <w:vAlign w:val="center"/>
            <w:hideMark/>
          </w:tcPr>
          <w:p w14:paraId="51EBB352" w14:textId="77777777" w:rsidR="00A75782" w:rsidRPr="00A75782" w:rsidRDefault="00A75782" w:rsidP="00D53BFC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14:paraId="5A4B36D7" w14:textId="77777777" w:rsidR="00A75782" w:rsidRPr="00A75782" w:rsidRDefault="00A75782" w:rsidP="003161C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82">
              <w:rPr>
                <w:rFonts w:ascii="Times New Roman" w:hAnsi="Times New Roman" w:cs="Times New Roman"/>
                <w:b/>
                <w:sz w:val="20"/>
                <w:szCs w:val="20"/>
              </w:rPr>
              <w:t>0,00%</w:t>
            </w:r>
          </w:p>
        </w:tc>
      </w:tr>
    </w:tbl>
    <w:p w14:paraId="6F7BC30A" w14:textId="77777777" w:rsidR="00A75782" w:rsidRPr="00A75782" w:rsidRDefault="00A75782" w:rsidP="00E62FA4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79F63FE7" w14:textId="77777777" w:rsidR="00A75782" w:rsidRPr="00A75782" w:rsidRDefault="00A75782" w:rsidP="00E62FA4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26DA5F97" w14:textId="48BB83EC" w:rsidR="00097902" w:rsidRDefault="002E3704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-13-</w:t>
      </w:r>
    </w:p>
    <w:p w14:paraId="7505F4FD" w14:textId="77777777" w:rsidR="00E17FE6" w:rsidRPr="003B5D9A" w:rsidRDefault="00E17FE6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113F8A6" w14:textId="7DA90D03" w:rsidR="00AA7230" w:rsidRPr="003B5D9A" w:rsidRDefault="00AA7230" w:rsidP="00B51003">
      <w:pPr>
        <w:pStyle w:val="Bezprored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9A">
        <w:rPr>
          <w:rFonts w:ascii="Times New Roman" w:hAnsi="Times New Roman" w:cs="Times New Roman"/>
          <w:b/>
          <w:sz w:val="28"/>
          <w:szCs w:val="28"/>
        </w:rPr>
        <w:t>OBRAZLOŽENJE</w:t>
      </w:r>
      <w:r w:rsidR="00217860" w:rsidRPr="003B5D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003" w:rsidRPr="003B5D9A">
        <w:rPr>
          <w:rFonts w:ascii="Times New Roman" w:hAnsi="Times New Roman" w:cs="Times New Roman"/>
          <w:b/>
          <w:sz w:val="28"/>
          <w:szCs w:val="28"/>
        </w:rPr>
        <w:t xml:space="preserve"> IZVJEŠTAJA O IZVRŠENJU</w:t>
      </w:r>
    </w:p>
    <w:p w14:paraId="2636EF98" w14:textId="77777777" w:rsidR="00AA7230" w:rsidRPr="003B5D9A" w:rsidRDefault="00AA7230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6370" w14:textId="59652446" w:rsidR="00D465F9" w:rsidRPr="003B5D9A" w:rsidRDefault="00B51003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D9A">
        <w:rPr>
          <w:rFonts w:ascii="Times New Roman" w:hAnsi="Times New Roman" w:cs="Times New Roman"/>
          <w:b/>
          <w:sz w:val="28"/>
          <w:szCs w:val="28"/>
        </w:rPr>
        <w:t>3.</w:t>
      </w:r>
      <w:r w:rsidR="00AA7230" w:rsidRPr="003B5D9A">
        <w:rPr>
          <w:rFonts w:ascii="Times New Roman" w:hAnsi="Times New Roman" w:cs="Times New Roman"/>
          <w:b/>
          <w:sz w:val="28"/>
          <w:szCs w:val="28"/>
        </w:rPr>
        <w:t>A.</w:t>
      </w:r>
      <w:r w:rsidR="00AA7230" w:rsidRPr="003B5D9A">
        <w:rPr>
          <w:rFonts w:ascii="Times New Roman" w:hAnsi="Times New Roman" w:cs="Times New Roman"/>
          <w:b/>
          <w:sz w:val="28"/>
          <w:szCs w:val="28"/>
        </w:rPr>
        <w:tab/>
        <w:t>OBRAZLOŽENJE OPĆEG DIJELA IZVJEŠTAJA</w:t>
      </w:r>
    </w:p>
    <w:p w14:paraId="4265A072" w14:textId="77777777" w:rsidR="00B51003" w:rsidRPr="003B5D9A" w:rsidRDefault="00B51003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E7076" w14:textId="44AD2B5E" w:rsidR="00B51003" w:rsidRPr="00DA5049" w:rsidRDefault="00B51003" w:rsidP="00AA723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049">
        <w:rPr>
          <w:rFonts w:ascii="Times New Roman" w:hAnsi="Times New Roman" w:cs="Times New Roman"/>
          <w:b/>
          <w:sz w:val="28"/>
          <w:szCs w:val="28"/>
        </w:rPr>
        <w:t>OBRAZLOŽENJE OSTAVARENJA PRIHODA I RASHODA</w:t>
      </w:r>
    </w:p>
    <w:p w14:paraId="3C6EE64D" w14:textId="77777777" w:rsidR="00DA5049" w:rsidRDefault="00DA5049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585DCD6" w14:textId="6CB227CC" w:rsidR="00DA5049" w:rsidRDefault="00DA5049" w:rsidP="00DA504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Obrazloženje ostvarenja prihoda i primitaka, rashoda i izdataka dopunjuje podatke iz Računa prihoda i rashoda i Računa financiranja. </w:t>
      </w:r>
    </w:p>
    <w:p w14:paraId="7B75AE71" w14:textId="09ADBBF7" w:rsidR="00DA5049" w:rsidRDefault="00DA5049" w:rsidP="00DA504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Obrazloženje godišnjeg izvještaja o izvršenju financijskog plana sadrži: </w:t>
      </w:r>
    </w:p>
    <w:p w14:paraId="11CCB925" w14:textId="77777777" w:rsidR="00151C43" w:rsidRDefault="00151C43" w:rsidP="00DA504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910BA23" w14:textId="7D3795AC" w:rsidR="00DA5049" w:rsidRPr="00DA5049" w:rsidRDefault="00DA5049" w:rsidP="00DA5049">
      <w:pPr>
        <w:pStyle w:val="Bezproreda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DA5049">
        <w:rPr>
          <w:rFonts w:ascii="Times New Roman" w:hAnsi="Times New Roman" w:cs="Times New Roman"/>
          <w:b/>
          <w:sz w:val="28"/>
          <w:szCs w:val="28"/>
        </w:rPr>
        <w:t>Obrazloženje općeg dijela izvještaja o izvršenju financijskog  plana u kojem se navodi:</w:t>
      </w:r>
    </w:p>
    <w:p w14:paraId="4D7E3601" w14:textId="5AA77982" w:rsidR="00DA5049" w:rsidRPr="00DA5049" w:rsidRDefault="00DA5049" w:rsidP="00DA5049">
      <w:pPr>
        <w:pStyle w:val="Bezprored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A5049">
        <w:rPr>
          <w:rFonts w:ascii="Times New Roman" w:hAnsi="Times New Roman" w:cs="Times New Roman"/>
          <w:b/>
          <w:sz w:val="28"/>
          <w:szCs w:val="28"/>
        </w:rPr>
        <w:t>- Obrazloženje ostvarenih prihoda i rashoda, primitaka i izdataka u izvještajnom razdoblju</w:t>
      </w:r>
    </w:p>
    <w:p w14:paraId="182D78C2" w14:textId="77777777" w:rsidR="00B51003" w:rsidRPr="00B51BD0" w:rsidRDefault="00B51003" w:rsidP="00AA7230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5D89F53" w14:textId="3859055E" w:rsidR="00985011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8E0138">
        <w:rPr>
          <w:rFonts w:ascii="Times New Roman" w:hAnsi="Times New Roman" w:cs="Times New Roman"/>
          <w:sz w:val="28"/>
          <w:szCs w:val="28"/>
        </w:rPr>
        <w:t>Iz tabale  Pregled planiranih i ostvarenih prihoda/primitaka, te rashoda i izdataka  za razdoblje 01.01. - 31. 12. 202</w:t>
      </w:r>
      <w:r w:rsidR="002E3704">
        <w:rPr>
          <w:rFonts w:ascii="Times New Roman" w:hAnsi="Times New Roman" w:cs="Times New Roman"/>
          <w:sz w:val="28"/>
          <w:szCs w:val="28"/>
        </w:rPr>
        <w:t>5</w:t>
      </w:r>
      <w:r w:rsidRPr="008E0138">
        <w:rPr>
          <w:rFonts w:ascii="Times New Roman" w:hAnsi="Times New Roman" w:cs="Times New Roman"/>
          <w:sz w:val="28"/>
          <w:szCs w:val="28"/>
        </w:rPr>
        <w:t>. godine, vidljivo je da su ukupni planirani prihodi za 202</w:t>
      </w:r>
      <w:r w:rsidR="00D53BFC">
        <w:rPr>
          <w:rFonts w:ascii="Times New Roman" w:hAnsi="Times New Roman" w:cs="Times New Roman"/>
          <w:sz w:val="28"/>
          <w:szCs w:val="28"/>
        </w:rPr>
        <w:t>5</w:t>
      </w:r>
      <w:r w:rsidRPr="008E0138">
        <w:rPr>
          <w:rFonts w:ascii="Times New Roman" w:hAnsi="Times New Roman" w:cs="Times New Roman"/>
          <w:sz w:val="28"/>
          <w:szCs w:val="28"/>
        </w:rPr>
        <w:t xml:space="preserve">. godinu iznose </w:t>
      </w:r>
      <w:r w:rsidR="00985011">
        <w:rPr>
          <w:rFonts w:ascii="Times New Roman" w:hAnsi="Times New Roman" w:cs="Times New Roman"/>
          <w:sz w:val="28"/>
          <w:szCs w:val="28"/>
        </w:rPr>
        <w:t xml:space="preserve"> </w:t>
      </w:r>
      <w:r w:rsidR="00D53BFC">
        <w:rPr>
          <w:rFonts w:ascii="Times New Roman" w:hAnsi="Times New Roman" w:cs="Times New Roman"/>
          <w:sz w:val="28"/>
          <w:szCs w:val="28"/>
        </w:rPr>
        <w:t>1.367.384,21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  <w:r w:rsidRPr="008E0138">
        <w:rPr>
          <w:rFonts w:ascii="Times New Roman" w:hAnsi="Times New Roman" w:cs="Times New Roman"/>
          <w:sz w:val="28"/>
          <w:szCs w:val="28"/>
        </w:rPr>
        <w:t xml:space="preserve">, a ostvareni prihodi su </w:t>
      </w:r>
      <w:r w:rsidR="00D53BFC">
        <w:rPr>
          <w:rFonts w:ascii="Times New Roman" w:hAnsi="Times New Roman" w:cs="Times New Roman"/>
          <w:sz w:val="28"/>
          <w:szCs w:val="28"/>
        </w:rPr>
        <w:t>1.234.174,63</w:t>
      </w:r>
      <w:r w:rsidR="00336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eura</w:t>
      </w:r>
      <w:r w:rsidRPr="008E0138">
        <w:rPr>
          <w:rFonts w:ascii="Times New Roman" w:hAnsi="Times New Roman" w:cs="Times New Roman"/>
          <w:sz w:val="28"/>
          <w:szCs w:val="28"/>
        </w:rPr>
        <w:t>, što je</w:t>
      </w:r>
      <w:r w:rsidR="0033687E">
        <w:rPr>
          <w:rFonts w:ascii="Times New Roman" w:hAnsi="Times New Roman" w:cs="Times New Roman"/>
          <w:sz w:val="28"/>
          <w:szCs w:val="28"/>
        </w:rPr>
        <w:t xml:space="preserve"> izvršenje od </w:t>
      </w:r>
      <w:r w:rsidR="00D53BFC">
        <w:rPr>
          <w:rFonts w:ascii="Times New Roman" w:hAnsi="Times New Roman" w:cs="Times New Roman"/>
          <w:sz w:val="28"/>
          <w:szCs w:val="28"/>
        </w:rPr>
        <w:t xml:space="preserve"> </w:t>
      </w:r>
      <w:r w:rsidR="0033687E">
        <w:rPr>
          <w:rFonts w:ascii="Times New Roman" w:hAnsi="Times New Roman" w:cs="Times New Roman"/>
          <w:sz w:val="28"/>
          <w:szCs w:val="28"/>
        </w:rPr>
        <w:t>9</w:t>
      </w:r>
      <w:r w:rsidR="00D53BFC">
        <w:rPr>
          <w:rFonts w:ascii="Times New Roman" w:hAnsi="Times New Roman" w:cs="Times New Roman"/>
          <w:sz w:val="28"/>
          <w:szCs w:val="28"/>
        </w:rPr>
        <w:t>0,30</w:t>
      </w:r>
      <w:r w:rsidR="0033687E">
        <w:rPr>
          <w:rFonts w:ascii="Times New Roman" w:hAnsi="Times New Roman" w:cs="Times New Roman"/>
          <w:sz w:val="28"/>
          <w:szCs w:val="28"/>
        </w:rPr>
        <w:t>%.</w:t>
      </w:r>
      <w:r w:rsidRPr="008E0138">
        <w:rPr>
          <w:rFonts w:ascii="Times New Roman" w:hAnsi="Times New Roman" w:cs="Times New Roman"/>
          <w:sz w:val="28"/>
          <w:szCs w:val="28"/>
        </w:rPr>
        <w:t xml:space="preserve"> </w:t>
      </w:r>
      <w:r w:rsidR="00D53BFC">
        <w:rPr>
          <w:rFonts w:ascii="Times New Roman" w:hAnsi="Times New Roman" w:cs="Times New Roman"/>
          <w:sz w:val="28"/>
          <w:szCs w:val="28"/>
        </w:rPr>
        <w:t xml:space="preserve"> O uzroku  izvršenja plana manjem za 9,70%, već smo obrazlagali uz prethodne izvještaje, Uvjetno rečeno, manjak o</w:t>
      </w:r>
      <w:r w:rsidR="009552C1">
        <w:rPr>
          <w:rFonts w:ascii="Times New Roman" w:hAnsi="Times New Roman" w:cs="Times New Roman"/>
          <w:sz w:val="28"/>
          <w:szCs w:val="28"/>
        </w:rPr>
        <w:t>dnosi se na opće prihode i primi</w:t>
      </w:r>
      <w:r w:rsidR="00D53BFC">
        <w:rPr>
          <w:rFonts w:ascii="Times New Roman" w:hAnsi="Times New Roman" w:cs="Times New Roman"/>
          <w:sz w:val="28"/>
          <w:szCs w:val="28"/>
        </w:rPr>
        <w:t xml:space="preserve">tke, </w:t>
      </w:r>
      <w:r w:rsidR="009552C1">
        <w:rPr>
          <w:rFonts w:ascii="Times New Roman" w:hAnsi="Times New Roman" w:cs="Times New Roman"/>
          <w:sz w:val="28"/>
          <w:szCs w:val="28"/>
        </w:rPr>
        <w:t>r</w:t>
      </w:r>
      <w:r w:rsidR="00D53BFC">
        <w:rPr>
          <w:rFonts w:ascii="Times New Roman" w:hAnsi="Times New Roman" w:cs="Times New Roman"/>
          <w:sz w:val="28"/>
          <w:szCs w:val="28"/>
        </w:rPr>
        <w:t>adi manjih rashoda za plaće i materijalne rashode, manje smo potraživali sredstava iz nadležnog proračuna</w:t>
      </w:r>
    </w:p>
    <w:p w14:paraId="35D146D9" w14:textId="77777777" w:rsidR="0033687E" w:rsidRDefault="0033687E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41E7E17" w14:textId="5E26C4FC" w:rsidR="00985011" w:rsidRDefault="0033687E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Ukupne prihode čine prihodi poslovanja i prihodi od financijske imovine i zaduživanja.</w:t>
      </w:r>
    </w:p>
    <w:p w14:paraId="105FDC41" w14:textId="489161E2" w:rsidR="0033687E" w:rsidRDefault="0033687E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Prihodi poslovanja su:</w:t>
      </w:r>
    </w:p>
    <w:p w14:paraId="56E4ED75" w14:textId="669CDB78" w:rsidR="008E0138" w:rsidRDefault="00985011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Opći prihodi i primici – Sredstva Grada Makarska u iznosu od:</w:t>
      </w:r>
      <w:r w:rsidR="0033687E">
        <w:rPr>
          <w:rFonts w:ascii="Times New Roman" w:hAnsi="Times New Roman" w:cs="Times New Roman"/>
          <w:sz w:val="28"/>
          <w:szCs w:val="28"/>
        </w:rPr>
        <w:t xml:space="preserve"> </w:t>
      </w:r>
      <w:r w:rsidR="009552C1">
        <w:rPr>
          <w:rFonts w:ascii="Times New Roman" w:hAnsi="Times New Roman" w:cs="Times New Roman"/>
          <w:sz w:val="28"/>
          <w:szCs w:val="28"/>
        </w:rPr>
        <w:t>897.446,40</w:t>
      </w:r>
      <w:r>
        <w:rPr>
          <w:rFonts w:ascii="Times New Roman" w:hAnsi="Times New Roman" w:cs="Times New Roman"/>
          <w:sz w:val="28"/>
          <w:szCs w:val="28"/>
        </w:rPr>
        <w:t xml:space="preserve"> eura, </w:t>
      </w:r>
      <w:r w:rsidR="004C4F96">
        <w:rPr>
          <w:rFonts w:ascii="Times New Roman" w:hAnsi="Times New Roman" w:cs="Times New Roman"/>
          <w:sz w:val="28"/>
          <w:szCs w:val="28"/>
        </w:rPr>
        <w:t xml:space="preserve">što je </w:t>
      </w:r>
      <w:r w:rsidR="00FD57F1">
        <w:rPr>
          <w:rFonts w:ascii="Times New Roman" w:hAnsi="Times New Roman" w:cs="Times New Roman"/>
          <w:sz w:val="28"/>
          <w:szCs w:val="28"/>
        </w:rPr>
        <w:t xml:space="preserve"> </w:t>
      </w:r>
      <w:r w:rsidR="009552C1">
        <w:rPr>
          <w:rFonts w:ascii="Times New Roman" w:hAnsi="Times New Roman" w:cs="Times New Roman"/>
          <w:sz w:val="28"/>
          <w:szCs w:val="28"/>
        </w:rPr>
        <w:t>77,51</w:t>
      </w:r>
      <w:r w:rsidR="004C4F96">
        <w:rPr>
          <w:rFonts w:ascii="Times New Roman" w:hAnsi="Times New Roman" w:cs="Times New Roman"/>
          <w:sz w:val="28"/>
          <w:szCs w:val="28"/>
        </w:rPr>
        <w:t xml:space="preserve">%  ukupnih prihoda. Prihodi od grada </w:t>
      </w:r>
      <w:r w:rsidR="00FD57F1">
        <w:rPr>
          <w:rFonts w:ascii="Times New Roman" w:hAnsi="Times New Roman" w:cs="Times New Roman"/>
          <w:sz w:val="28"/>
          <w:szCs w:val="28"/>
        </w:rPr>
        <w:t xml:space="preserve">ostvareni su </w:t>
      </w:r>
      <w:r w:rsidR="009552C1">
        <w:rPr>
          <w:rFonts w:ascii="Times New Roman" w:hAnsi="Times New Roman" w:cs="Times New Roman"/>
          <w:sz w:val="28"/>
          <w:szCs w:val="28"/>
        </w:rPr>
        <w:t xml:space="preserve"> 90,20</w:t>
      </w:r>
      <w:r w:rsidR="00FD57F1">
        <w:rPr>
          <w:rFonts w:ascii="Times New Roman" w:hAnsi="Times New Roman" w:cs="Times New Roman"/>
          <w:sz w:val="28"/>
          <w:szCs w:val="28"/>
        </w:rPr>
        <w:t xml:space="preserve">% planiranih. </w:t>
      </w:r>
    </w:p>
    <w:p w14:paraId="1C90651B" w14:textId="30201D64" w:rsidR="00985011" w:rsidRPr="00151C43" w:rsidRDefault="00985011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151C43">
        <w:rPr>
          <w:rFonts w:ascii="Times New Roman" w:hAnsi="Times New Roman" w:cs="Times New Roman"/>
          <w:sz w:val="28"/>
          <w:szCs w:val="28"/>
        </w:rPr>
        <w:t>- Vlastiti prihodi – Sredstva od pruženih usluga</w:t>
      </w:r>
      <w:r w:rsidR="004C4F96" w:rsidRPr="00151C43">
        <w:rPr>
          <w:rFonts w:ascii="Times New Roman" w:hAnsi="Times New Roman" w:cs="Times New Roman"/>
          <w:sz w:val="28"/>
          <w:szCs w:val="28"/>
        </w:rPr>
        <w:t xml:space="preserve">, sredstva pripadajućeg dijela premija osiguranje, te naknada štete u iznosu od </w:t>
      </w:r>
      <w:r w:rsidR="009552C1" w:rsidRPr="00151C43">
        <w:rPr>
          <w:rFonts w:ascii="Times New Roman" w:hAnsi="Times New Roman" w:cs="Times New Roman"/>
          <w:sz w:val="28"/>
          <w:szCs w:val="28"/>
        </w:rPr>
        <w:t>18.471,58</w:t>
      </w:r>
      <w:r w:rsidR="00E30929" w:rsidRPr="00151C43">
        <w:rPr>
          <w:rFonts w:ascii="Times New Roman" w:hAnsi="Times New Roman" w:cs="Times New Roman"/>
          <w:sz w:val="28"/>
          <w:szCs w:val="28"/>
        </w:rPr>
        <w:t>3</w:t>
      </w:r>
      <w:r w:rsidR="00FD57F1" w:rsidRPr="00151C43">
        <w:rPr>
          <w:rFonts w:ascii="Times New Roman" w:hAnsi="Times New Roman" w:cs="Times New Roman"/>
          <w:sz w:val="28"/>
          <w:szCs w:val="28"/>
        </w:rPr>
        <w:t xml:space="preserve">  eura. Ostvareno je </w:t>
      </w:r>
      <w:r w:rsidR="00E30929" w:rsidRPr="00151C43">
        <w:rPr>
          <w:rFonts w:ascii="Times New Roman" w:hAnsi="Times New Roman" w:cs="Times New Roman"/>
          <w:sz w:val="28"/>
          <w:szCs w:val="28"/>
        </w:rPr>
        <w:t>10</w:t>
      </w:r>
      <w:r w:rsidR="00151C43">
        <w:rPr>
          <w:rFonts w:ascii="Times New Roman" w:hAnsi="Times New Roman" w:cs="Times New Roman"/>
          <w:sz w:val="28"/>
          <w:szCs w:val="28"/>
        </w:rPr>
        <w:t>7</w:t>
      </w:r>
      <w:r w:rsidR="00E30929" w:rsidRPr="00151C43">
        <w:rPr>
          <w:rFonts w:ascii="Times New Roman" w:hAnsi="Times New Roman" w:cs="Times New Roman"/>
          <w:sz w:val="28"/>
          <w:szCs w:val="28"/>
        </w:rPr>
        <w:t>,</w:t>
      </w:r>
      <w:r w:rsidR="00151C43">
        <w:rPr>
          <w:rFonts w:ascii="Times New Roman" w:hAnsi="Times New Roman" w:cs="Times New Roman"/>
          <w:sz w:val="28"/>
          <w:szCs w:val="28"/>
        </w:rPr>
        <w:t>57</w:t>
      </w:r>
      <w:r w:rsidR="00FD57F1" w:rsidRPr="00151C43">
        <w:rPr>
          <w:rFonts w:ascii="Times New Roman" w:hAnsi="Times New Roman" w:cs="Times New Roman"/>
          <w:sz w:val="28"/>
          <w:szCs w:val="28"/>
        </w:rPr>
        <w:t>% planiranih prihoda. Vlastiti prihodi čine</w:t>
      </w:r>
      <w:r w:rsidR="00151C43">
        <w:rPr>
          <w:rFonts w:ascii="Times New Roman" w:hAnsi="Times New Roman" w:cs="Times New Roman"/>
          <w:sz w:val="28"/>
          <w:szCs w:val="28"/>
        </w:rPr>
        <w:t xml:space="preserve"> 1,60</w:t>
      </w:r>
      <w:r w:rsidR="00E30929" w:rsidRPr="00151C43">
        <w:rPr>
          <w:rFonts w:ascii="Times New Roman" w:hAnsi="Times New Roman" w:cs="Times New Roman"/>
          <w:sz w:val="28"/>
          <w:szCs w:val="28"/>
        </w:rPr>
        <w:t>4</w:t>
      </w:r>
      <w:r w:rsidR="004C4F96" w:rsidRPr="00151C43">
        <w:rPr>
          <w:rFonts w:ascii="Times New Roman" w:hAnsi="Times New Roman" w:cs="Times New Roman"/>
          <w:sz w:val="28"/>
          <w:szCs w:val="28"/>
        </w:rPr>
        <w:t>%</w:t>
      </w:r>
      <w:r w:rsidRPr="00151C43">
        <w:rPr>
          <w:rFonts w:ascii="Times New Roman" w:hAnsi="Times New Roman" w:cs="Times New Roman"/>
          <w:sz w:val="28"/>
          <w:szCs w:val="28"/>
        </w:rPr>
        <w:t xml:space="preserve"> </w:t>
      </w:r>
      <w:r w:rsidR="00151C43">
        <w:rPr>
          <w:rFonts w:ascii="Times New Roman" w:hAnsi="Times New Roman" w:cs="Times New Roman"/>
          <w:sz w:val="28"/>
          <w:szCs w:val="28"/>
        </w:rPr>
        <w:t>.</w:t>
      </w:r>
    </w:p>
    <w:p w14:paraId="020E8328" w14:textId="77777777" w:rsidR="00746A2A" w:rsidRPr="003A0523" w:rsidRDefault="00746A2A" w:rsidP="00746A2A">
      <w:pPr>
        <w:pStyle w:val="Bezproreda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F9DC1A2" w14:textId="687D7909" w:rsidR="00F948E4" w:rsidRDefault="00F948E4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Prihodi po posebnim propisima  </w:t>
      </w:r>
      <w:r w:rsidR="000E3F4F">
        <w:rPr>
          <w:rFonts w:ascii="Times New Roman" w:hAnsi="Times New Roman" w:cs="Times New Roman"/>
          <w:sz w:val="28"/>
          <w:szCs w:val="28"/>
        </w:rPr>
        <w:t>- Decentralizirana sredstva:</w:t>
      </w:r>
      <w:r w:rsidR="00E30929">
        <w:rPr>
          <w:rFonts w:ascii="Times New Roman" w:hAnsi="Times New Roman" w:cs="Times New Roman"/>
          <w:sz w:val="28"/>
          <w:szCs w:val="28"/>
        </w:rPr>
        <w:t xml:space="preserve"> </w:t>
      </w:r>
      <w:r w:rsidR="00151C43">
        <w:rPr>
          <w:rFonts w:ascii="Times New Roman" w:hAnsi="Times New Roman" w:cs="Times New Roman"/>
          <w:sz w:val="28"/>
          <w:szCs w:val="28"/>
        </w:rPr>
        <w:t>331.441,73 eura</w:t>
      </w:r>
      <w:r w:rsidR="000E3F4F">
        <w:rPr>
          <w:rFonts w:ascii="Times New Roman" w:hAnsi="Times New Roman" w:cs="Times New Roman"/>
          <w:sz w:val="28"/>
          <w:szCs w:val="28"/>
        </w:rPr>
        <w:t xml:space="preserve">, čine </w:t>
      </w:r>
      <w:r w:rsidR="00151C43">
        <w:rPr>
          <w:rFonts w:ascii="Times New Roman" w:hAnsi="Times New Roman" w:cs="Times New Roman"/>
          <w:sz w:val="28"/>
          <w:szCs w:val="28"/>
        </w:rPr>
        <w:t>28,63</w:t>
      </w:r>
      <w:r w:rsidR="000E3F4F">
        <w:rPr>
          <w:rFonts w:ascii="Times New Roman" w:hAnsi="Times New Roman" w:cs="Times New Roman"/>
          <w:sz w:val="28"/>
          <w:szCs w:val="28"/>
        </w:rPr>
        <w:t>% ukupnih prihoda i u skladu su s planiranim sredstvima</w:t>
      </w:r>
      <w:r w:rsidR="00E30929">
        <w:rPr>
          <w:rFonts w:ascii="Times New Roman" w:hAnsi="Times New Roman" w:cs="Times New Roman"/>
          <w:sz w:val="28"/>
          <w:szCs w:val="28"/>
        </w:rPr>
        <w:t xml:space="preserve">, a povećana su svega </w:t>
      </w:r>
      <w:r w:rsidR="00151C43">
        <w:rPr>
          <w:rFonts w:ascii="Times New Roman" w:hAnsi="Times New Roman" w:cs="Times New Roman"/>
          <w:sz w:val="28"/>
          <w:szCs w:val="28"/>
        </w:rPr>
        <w:t>6,78</w:t>
      </w:r>
      <w:r w:rsidR="00E30929">
        <w:rPr>
          <w:rFonts w:ascii="Times New Roman" w:hAnsi="Times New Roman" w:cs="Times New Roman"/>
          <w:sz w:val="28"/>
          <w:szCs w:val="28"/>
        </w:rPr>
        <w:t xml:space="preserve">% </w:t>
      </w:r>
      <w:r w:rsidR="00151C43">
        <w:rPr>
          <w:rFonts w:ascii="Times New Roman" w:hAnsi="Times New Roman" w:cs="Times New Roman"/>
          <w:sz w:val="28"/>
          <w:szCs w:val="28"/>
        </w:rPr>
        <w:t xml:space="preserve"> </w:t>
      </w:r>
      <w:r w:rsidR="00E30929">
        <w:rPr>
          <w:rFonts w:ascii="Times New Roman" w:hAnsi="Times New Roman" w:cs="Times New Roman"/>
          <w:sz w:val="28"/>
          <w:szCs w:val="28"/>
        </w:rPr>
        <w:t>u odnosu na prethodno izvještajno razdoblje</w:t>
      </w:r>
      <w:r w:rsidR="000E3F4F">
        <w:rPr>
          <w:rFonts w:ascii="Times New Roman" w:hAnsi="Times New Roman" w:cs="Times New Roman"/>
          <w:sz w:val="28"/>
          <w:szCs w:val="28"/>
        </w:rPr>
        <w:t>.</w:t>
      </w:r>
    </w:p>
    <w:p w14:paraId="18E47736" w14:textId="2F73D02E" w:rsidR="008E0138" w:rsidRDefault="004C4A55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Donacije</w:t>
      </w:r>
      <w:r w:rsidR="00E30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Donacije pravnih osoba za poboljšanje materijalne osnove rada Postrojbe u iznos</w:t>
      </w:r>
      <w:r w:rsidR="00E30929">
        <w:rPr>
          <w:rFonts w:ascii="Times New Roman" w:hAnsi="Times New Roman" w:cs="Times New Roman"/>
          <w:sz w:val="28"/>
          <w:szCs w:val="28"/>
        </w:rPr>
        <w:t xml:space="preserve">ila su </w:t>
      </w:r>
      <w:r w:rsidR="00151C43">
        <w:rPr>
          <w:rFonts w:ascii="Times New Roman" w:hAnsi="Times New Roman" w:cs="Times New Roman"/>
          <w:sz w:val="28"/>
          <w:szCs w:val="28"/>
        </w:rPr>
        <w:t>800,00</w:t>
      </w:r>
      <w:r w:rsidR="00E30929">
        <w:rPr>
          <w:rFonts w:ascii="Times New Roman" w:hAnsi="Times New Roman" w:cs="Times New Roman"/>
          <w:sz w:val="28"/>
          <w:szCs w:val="28"/>
        </w:rPr>
        <w:t xml:space="preserve"> eura. </w:t>
      </w:r>
    </w:p>
    <w:p w14:paraId="090650A7" w14:textId="77777777" w:rsidR="00151C43" w:rsidRDefault="00151C43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250C546" w14:textId="77777777" w:rsidR="00151C43" w:rsidRDefault="00151C43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FACE784" w14:textId="77777777" w:rsidR="00151C43" w:rsidRDefault="00151C43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73AB209" w14:textId="6EC6F764" w:rsidR="00151C43" w:rsidRDefault="003E1694" w:rsidP="003E169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-14-</w:t>
      </w:r>
    </w:p>
    <w:p w14:paraId="620D997C" w14:textId="77777777" w:rsidR="003E1694" w:rsidRPr="008E0138" w:rsidRDefault="003E1694" w:rsidP="003E169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FBE2305" w14:textId="1A276FB6" w:rsidR="008E0138" w:rsidRPr="00B1046D" w:rsidRDefault="008E0138" w:rsidP="008E013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B1046D">
        <w:rPr>
          <w:rFonts w:ascii="Times New Roman" w:hAnsi="Times New Roman" w:cs="Times New Roman"/>
          <w:b/>
          <w:sz w:val="28"/>
          <w:szCs w:val="28"/>
        </w:rPr>
        <w:t>RASHODI I IZDACI U</w:t>
      </w:r>
      <w:r w:rsidR="004C4A55" w:rsidRPr="00B1046D">
        <w:rPr>
          <w:rFonts w:ascii="Times New Roman" w:hAnsi="Times New Roman" w:cs="Times New Roman"/>
          <w:b/>
          <w:sz w:val="28"/>
          <w:szCs w:val="28"/>
        </w:rPr>
        <w:t xml:space="preserve"> IZVJEŠTAJNOM </w:t>
      </w:r>
      <w:r w:rsidRPr="00B1046D">
        <w:rPr>
          <w:rFonts w:ascii="Times New Roman" w:hAnsi="Times New Roman" w:cs="Times New Roman"/>
          <w:b/>
          <w:sz w:val="28"/>
          <w:szCs w:val="28"/>
        </w:rPr>
        <w:t xml:space="preserve"> RAZDOBLJU </w:t>
      </w:r>
    </w:p>
    <w:p w14:paraId="0C522679" w14:textId="77777777" w:rsidR="008E0138" w:rsidRPr="008E0138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8A596B2" w14:textId="5E043C2B" w:rsidR="004C4A55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8E0138">
        <w:rPr>
          <w:rFonts w:ascii="Times New Roman" w:hAnsi="Times New Roman" w:cs="Times New Roman"/>
          <w:sz w:val="28"/>
          <w:szCs w:val="28"/>
        </w:rPr>
        <w:t xml:space="preserve">  U istoj tabeli je iskazan i pregled planiranih i ostvareni rashoda i izdataka u izvještajnom  razdoblju, može se vidjeti</w:t>
      </w:r>
      <w:r w:rsidR="004C4A55">
        <w:rPr>
          <w:rFonts w:ascii="Times New Roman" w:hAnsi="Times New Roman" w:cs="Times New Roman"/>
          <w:sz w:val="28"/>
          <w:szCs w:val="28"/>
        </w:rPr>
        <w:t xml:space="preserve"> da rashode čine rashodi poslovanja i rashodi za nabavku nefinancijske imovine.</w:t>
      </w:r>
    </w:p>
    <w:p w14:paraId="75E78AEB" w14:textId="77777777" w:rsidR="00151C43" w:rsidRDefault="00151C43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87F0856" w14:textId="6AF00B77" w:rsidR="008E0138" w:rsidRPr="008E0138" w:rsidRDefault="006E498F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46A2A">
        <w:rPr>
          <w:rFonts w:ascii="Times New Roman" w:hAnsi="Times New Roman" w:cs="Times New Roman"/>
          <w:b/>
          <w:sz w:val="28"/>
          <w:szCs w:val="28"/>
        </w:rPr>
        <w:t>Rashodi poslovanja</w:t>
      </w:r>
      <w:r>
        <w:rPr>
          <w:rFonts w:ascii="Times New Roman" w:hAnsi="Times New Roman" w:cs="Times New Roman"/>
          <w:sz w:val="28"/>
          <w:szCs w:val="28"/>
        </w:rPr>
        <w:t xml:space="preserve"> obuhvaćaju rashode za zaposlene i rashode za materijalne rashode te financijske rashode.</w:t>
      </w:r>
      <w:r w:rsidR="008E0138" w:rsidRPr="008E0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CF5AB" w14:textId="6C85D9CA" w:rsidR="006E498F" w:rsidRPr="008E0138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46A2A">
        <w:rPr>
          <w:rFonts w:ascii="Times New Roman" w:hAnsi="Times New Roman" w:cs="Times New Roman"/>
          <w:b/>
          <w:sz w:val="28"/>
          <w:szCs w:val="28"/>
        </w:rPr>
        <w:t>Rashodi za zaposlene</w:t>
      </w:r>
      <w:r w:rsidRPr="008E0138">
        <w:rPr>
          <w:rFonts w:ascii="Times New Roman" w:hAnsi="Times New Roman" w:cs="Times New Roman"/>
          <w:sz w:val="28"/>
          <w:szCs w:val="28"/>
        </w:rPr>
        <w:t xml:space="preserve">, koji čine </w:t>
      </w:r>
      <w:r w:rsidR="00151C43">
        <w:rPr>
          <w:rFonts w:ascii="Times New Roman" w:hAnsi="Times New Roman" w:cs="Times New Roman"/>
          <w:sz w:val="28"/>
          <w:szCs w:val="28"/>
        </w:rPr>
        <w:t>86,15 %</w:t>
      </w:r>
      <w:r w:rsidRPr="008E0138">
        <w:rPr>
          <w:rFonts w:ascii="Times New Roman" w:hAnsi="Times New Roman" w:cs="Times New Roman"/>
          <w:sz w:val="28"/>
          <w:szCs w:val="28"/>
        </w:rPr>
        <w:t xml:space="preserve">ukupnih rashoda,  rasli su za </w:t>
      </w:r>
      <w:r w:rsidR="00151C43">
        <w:rPr>
          <w:rFonts w:ascii="Times New Roman" w:hAnsi="Times New Roman" w:cs="Times New Roman"/>
          <w:sz w:val="28"/>
          <w:szCs w:val="28"/>
        </w:rPr>
        <w:t>26,48</w:t>
      </w:r>
      <w:r w:rsidR="00E51ECC">
        <w:rPr>
          <w:rFonts w:ascii="Times New Roman" w:hAnsi="Times New Roman" w:cs="Times New Roman"/>
          <w:sz w:val="28"/>
          <w:szCs w:val="28"/>
        </w:rPr>
        <w:t>5%</w:t>
      </w:r>
      <w:r w:rsidRPr="008E0138">
        <w:rPr>
          <w:rFonts w:ascii="Times New Roman" w:hAnsi="Times New Roman" w:cs="Times New Roman"/>
          <w:sz w:val="28"/>
          <w:szCs w:val="28"/>
        </w:rPr>
        <w:t>, a ostvareni su u iznosu od</w:t>
      </w:r>
      <w:r w:rsidR="006E498F">
        <w:rPr>
          <w:rFonts w:ascii="Times New Roman" w:hAnsi="Times New Roman" w:cs="Times New Roman"/>
          <w:sz w:val="28"/>
          <w:szCs w:val="28"/>
        </w:rPr>
        <w:t xml:space="preserve"> </w:t>
      </w:r>
      <w:r w:rsidR="00151C43">
        <w:rPr>
          <w:rFonts w:ascii="Times New Roman" w:hAnsi="Times New Roman" w:cs="Times New Roman"/>
          <w:sz w:val="28"/>
          <w:szCs w:val="28"/>
        </w:rPr>
        <w:t xml:space="preserve"> 1.064,382,11</w:t>
      </w:r>
      <w:r w:rsidR="006E498F">
        <w:rPr>
          <w:rFonts w:ascii="Times New Roman" w:hAnsi="Times New Roman" w:cs="Times New Roman"/>
          <w:sz w:val="28"/>
          <w:szCs w:val="28"/>
        </w:rPr>
        <w:t xml:space="preserve">  eura i u skladu s  planiranim.</w:t>
      </w:r>
      <w:r w:rsidR="00E51ECC">
        <w:rPr>
          <w:rFonts w:ascii="Times New Roman" w:hAnsi="Times New Roman" w:cs="Times New Roman"/>
          <w:sz w:val="28"/>
          <w:szCs w:val="28"/>
        </w:rPr>
        <w:t xml:space="preserve"> </w:t>
      </w:r>
      <w:r w:rsidR="00E139B6">
        <w:rPr>
          <w:rFonts w:ascii="Times New Roman" w:hAnsi="Times New Roman" w:cs="Times New Roman"/>
          <w:sz w:val="28"/>
          <w:szCs w:val="28"/>
        </w:rPr>
        <w:t xml:space="preserve"> Kao što smo ranije naveli ovo povećanje rashoda za plaće, nije i povećanje plaća. Ovo povećanje je uzrokovano izmjenom pravilnika o proračunskom računovodstvu i računskom plani, kojim plaća prosince se priznaje kao trošak 2025. godine, pa je u ukopnom rashodu za zaposlene sadržano trinaest plaća.</w:t>
      </w:r>
      <w:r w:rsidR="00E51ECC">
        <w:rPr>
          <w:rFonts w:ascii="Times New Roman" w:hAnsi="Times New Roman" w:cs="Times New Roman"/>
          <w:sz w:val="28"/>
          <w:szCs w:val="28"/>
        </w:rPr>
        <w:t>.</w:t>
      </w:r>
      <w:r w:rsidRPr="008E0138">
        <w:rPr>
          <w:rFonts w:ascii="Times New Roman" w:hAnsi="Times New Roman" w:cs="Times New Roman"/>
          <w:sz w:val="28"/>
          <w:szCs w:val="28"/>
        </w:rPr>
        <w:t xml:space="preserve"> Od toga bruto plaće djelatnika čine</w:t>
      </w:r>
      <w:r w:rsidR="006E498F">
        <w:rPr>
          <w:rFonts w:ascii="Times New Roman" w:hAnsi="Times New Roman" w:cs="Times New Roman"/>
          <w:sz w:val="28"/>
          <w:szCs w:val="28"/>
        </w:rPr>
        <w:t xml:space="preserve"> </w:t>
      </w:r>
      <w:r w:rsidR="00623BCA">
        <w:rPr>
          <w:rFonts w:ascii="Times New Roman" w:hAnsi="Times New Roman" w:cs="Times New Roman"/>
          <w:sz w:val="28"/>
          <w:szCs w:val="28"/>
        </w:rPr>
        <w:t xml:space="preserve"> 833,641,57</w:t>
      </w:r>
      <w:r w:rsidR="006E498F">
        <w:rPr>
          <w:rFonts w:ascii="Times New Roman" w:hAnsi="Times New Roman" w:cs="Times New Roman"/>
          <w:sz w:val="28"/>
          <w:szCs w:val="28"/>
        </w:rPr>
        <w:t xml:space="preserve"> eura,</w:t>
      </w:r>
      <w:r w:rsidRPr="008E0138">
        <w:rPr>
          <w:rFonts w:ascii="Times New Roman" w:hAnsi="Times New Roman" w:cs="Times New Roman"/>
          <w:sz w:val="28"/>
          <w:szCs w:val="28"/>
        </w:rPr>
        <w:t xml:space="preserve"> doprinosi  na plaću, za zdravstveno osiguranje  i MIO na plaću su</w:t>
      </w:r>
      <w:r w:rsidR="00623BCA">
        <w:rPr>
          <w:rFonts w:ascii="Times New Roman" w:hAnsi="Times New Roman" w:cs="Times New Roman"/>
          <w:sz w:val="28"/>
          <w:szCs w:val="28"/>
        </w:rPr>
        <w:t xml:space="preserve"> 201.984,01</w:t>
      </w:r>
      <w:r w:rsidR="006E498F">
        <w:rPr>
          <w:rFonts w:ascii="Times New Roman" w:hAnsi="Times New Roman" w:cs="Times New Roman"/>
          <w:sz w:val="28"/>
          <w:szCs w:val="28"/>
        </w:rPr>
        <w:t xml:space="preserve"> eura, </w:t>
      </w:r>
      <w:r w:rsidRPr="008E0138">
        <w:rPr>
          <w:rFonts w:ascii="Times New Roman" w:hAnsi="Times New Roman" w:cs="Times New Roman"/>
          <w:sz w:val="28"/>
          <w:szCs w:val="28"/>
        </w:rPr>
        <w:t xml:space="preserve"> dok ostali rashodi za zaposlene ( Božićnica, regres za GO, dar djeci, naknade  i sl.) iznose </w:t>
      </w:r>
      <w:r w:rsidR="00623BCA">
        <w:rPr>
          <w:rFonts w:ascii="Times New Roman" w:hAnsi="Times New Roman" w:cs="Times New Roman"/>
          <w:sz w:val="28"/>
          <w:szCs w:val="28"/>
        </w:rPr>
        <w:t>28.756,63</w:t>
      </w:r>
      <w:r w:rsidR="006E498F">
        <w:rPr>
          <w:rFonts w:ascii="Times New Roman" w:hAnsi="Times New Roman" w:cs="Times New Roman"/>
          <w:sz w:val="28"/>
          <w:szCs w:val="28"/>
        </w:rPr>
        <w:t xml:space="preserve"> eura</w:t>
      </w:r>
      <w:r w:rsidRPr="008E0138">
        <w:rPr>
          <w:rFonts w:ascii="Times New Roman" w:hAnsi="Times New Roman" w:cs="Times New Roman"/>
          <w:sz w:val="28"/>
          <w:szCs w:val="28"/>
        </w:rPr>
        <w:t>.</w:t>
      </w:r>
    </w:p>
    <w:p w14:paraId="63421B1C" w14:textId="1C59F6B5" w:rsidR="008E0138" w:rsidRPr="008E0138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46A2A">
        <w:rPr>
          <w:rFonts w:ascii="Times New Roman" w:hAnsi="Times New Roman" w:cs="Times New Roman"/>
          <w:b/>
          <w:sz w:val="28"/>
          <w:szCs w:val="28"/>
        </w:rPr>
        <w:t>Materijalni rashodi</w:t>
      </w:r>
      <w:r w:rsidRPr="008E0138">
        <w:rPr>
          <w:rFonts w:ascii="Times New Roman" w:hAnsi="Times New Roman" w:cs="Times New Roman"/>
          <w:sz w:val="28"/>
          <w:szCs w:val="28"/>
        </w:rPr>
        <w:t xml:space="preserve"> </w:t>
      </w:r>
      <w:r w:rsidR="00953729">
        <w:rPr>
          <w:rFonts w:ascii="Times New Roman" w:hAnsi="Times New Roman" w:cs="Times New Roman"/>
          <w:sz w:val="28"/>
          <w:szCs w:val="28"/>
        </w:rPr>
        <w:t xml:space="preserve"> u iznosu od</w:t>
      </w:r>
      <w:r w:rsidR="00623BCA">
        <w:rPr>
          <w:rFonts w:ascii="Times New Roman" w:hAnsi="Times New Roman" w:cs="Times New Roman"/>
          <w:sz w:val="28"/>
          <w:szCs w:val="28"/>
        </w:rPr>
        <w:t xml:space="preserve"> 99.665,85</w:t>
      </w:r>
      <w:r w:rsidR="00953729">
        <w:rPr>
          <w:rFonts w:ascii="Times New Roman" w:hAnsi="Times New Roman" w:cs="Times New Roman"/>
          <w:sz w:val="28"/>
          <w:szCs w:val="28"/>
        </w:rPr>
        <w:t xml:space="preserve"> eura, </w:t>
      </w:r>
      <w:r w:rsidRPr="008E0138">
        <w:rPr>
          <w:rFonts w:ascii="Times New Roman" w:hAnsi="Times New Roman" w:cs="Times New Roman"/>
          <w:sz w:val="28"/>
          <w:szCs w:val="28"/>
        </w:rPr>
        <w:t xml:space="preserve">čine </w:t>
      </w:r>
      <w:r w:rsidR="00953729">
        <w:rPr>
          <w:rFonts w:ascii="Times New Roman" w:hAnsi="Times New Roman" w:cs="Times New Roman"/>
          <w:sz w:val="28"/>
          <w:szCs w:val="28"/>
        </w:rPr>
        <w:t xml:space="preserve"> </w:t>
      </w:r>
      <w:r w:rsidR="00623BCA">
        <w:rPr>
          <w:rFonts w:ascii="Times New Roman" w:hAnsi="Times New Roman" w:cs="Times New Roman"/>
          <w:sz w:val="28"/>
          <w:szCs w:val="28"/>
        </w:rPr>
        <w:t>8,07</w:t>
      </w:r>
      <w:r w:rsidR="00953729">
        <w:rPr>
          <w:rFonts w:ascii="Times New Roman" w:hAnsi="Times New Roman" w:cs="Times New Roman"/>
          <w:sz w:val="28"/>
          <w:szCs w:val="28"/>
        </w:rPr>
        <w:t xml:space="preserve"> </w:t>
      </w:r>
      <w:r w:rsidRPr="008E0138">
        <w:rPr>
          <w:rFonts w:ascii="Times New Roman" w:hAnsi="Times New Roman" w:cs="Times New Roman"/>
          <w:sz w:val="28"/>
          <w:szCs w:val="28"/>
        </w:rPr>
        <w:t xml:space="preserve">% </w:t>
      </w:r>
      <w:r w:rsidR="00953729">
        <w:rPr>
          <w:rFonts w:ascii="Times New Roman" w:hAnsi="Times New Roman" w:cs="Times New Roman"/>
          <w:sz w:val="28"/>
          <w:szCs w:val="28"/>
        </w:rPr>
        <w:t xml:space="preserve"> </w:t>
      </w:r>
      <w:r w:rsidRPr="008E0138">
        <w:rPr>
          <w:rFonts w:ascii="Times New Roman" w:hAnsi="Times New Roman" w:cs="Times New Roman"/>
          <w:sz w:val="28"/>
          <w:szCs w:val="28"/>
        </w:rPr>
        <w:t xml:space="preserve">ukupnih rashoda  i </w:t>
      </w:r>
      <w:r w:rsidR="00623BCA">
        <w:rPr>
          <w:rFonts w:ascii="Times New Roman" w:hAnsi="Times New Roman" w:cs="Times New Roman"/>
          <w:sz w:val="28"/>
          <w:szCs w:val="28"/>
        </w:rPr>
        <w:t>manji su u odnosu na 2024. godinu 28,82</w:t>
      </w:r>
      <w:r w:rsidR="00953729">
        <w:rPr>
          <w:rFonts w:ascii="Times New Roman" w:hAnsi="Times New Roman" w:cs="Times New Roman"/>
          <w:sz w:val="28"/>
          <w:szCs w:val="28"/>
        </w:rPr>
        <w:t xml:space="preserve"> %,</w:t>
      </w:r>
      <w:r w:rsidR="00E51ECC">
        <w:rPr>
          <w:rFonts w:ascii="Times New Roman" w:hAnsi="Times New Roman" w:cs="Times New Roman"/>
          <w:sz w:val="28"/>
          <w:szCs w:val="28"/>
        </w:rPr>
        <w:t xml:space="preserve"> </w:t>
      </w:r>
      <w:r w:rsidR="00953729">
        <w:rPr>
          <w:rFonts w:ascii="Times New Roman" w:hAnsi="Times New Roman" w:cs="Times New Roman"/>
          <w:sz w:val="28"/>
          <w:szCs w:val="28"/>
        </w:rPr>
        <w:t xml:space="preserve"> na što je utjecao </w:t>
      </w:r>
      <w:r w:rsidR="00623BCA">
        <w:rPr>
          <w:rFonts w:ascii="Times New Roman" w:hAnsi="Times New Roman" w:cs="Times New Roman"/>
          <w:sz w:val="28"/>
          <w:szCs w:val="28"/>
        </w:rPr>
        <w:t xml:space="preserve"> smanjeni rashodi za materijal ( pjena za gašenje )</w:t>
      </w:r>
      <w:r w:rsidR="00E51ECC">
        <w:rPr>
          <w:rFonts w:ascii="Times New Roman" w:hAnsi="Times New Roman" w:cs="Times New Roman"/>
          <w:sz w:val="28"/>
          <w:szCs w:val="28"/>
        </w:rPr>
        <w:t xml:space="preserve"> i </w:t>
      </w:r>
      <w:r w:rsidR="00623BCA">
        <w:rPr>
          <w:rFonts w:ascii="Times New Roman" w:hAnsi="Times New Roman" w:cs="Times New Roman"/>
          <w:sz w:val="28"/>
          <w:szCs w:val="28"/>
        </w:rPr>
        <w:t xml:space="preserve"> rashodi za usluge. Naime u 2025. godini nije bilo većih popravaka oprema( prijevoznih sredstava)</w:t>
      </w:r>
      <w:r w:rsidRPr="008E01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0B29C" w14:textId="035282C5" w:rsidR="00092FFA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46A2A">
        <w:rPr>
          <w:rFonts w:ascii="Times New Roman" w:hAnsi="Times New Roman" w:cs="Times New Roman"/>
          <w:b/>
          <w:sz w:val="28"/>
          <w:szCs w:val="28"/>
        </w:rPr>
        <w:t>Financijski rashodi</w:t>
      </w:r>
      <w:r w:rsidRPr="008E0138">
        <w:rPr>
          <w:rFonts w:ascii="Times New Roman" w:hAnsi="Times New Roman" w:cs="Times New Roman"/>
          <w:sz w:val="28"/>
          <w:szCs w:val="28"/>
        </w:rPr>
        <w:t xml:space="preserve">  iznose</w:t>
      </w:r>
      <w:r w:rsidR="00623BCA">
        <w:rPr>
          <w:rFonts w:ascii="Times New Roman" w:hAnsi="Times New Roman" w:cs="Times New Roman"/>
          <w:sz w:val="28"/>
          <w:szCs w:val="28"/>
        </w:rPr>
        <w:t xml:space="preserve">  10.721,60</w:t>
      </w:r>
      <w:r w:rsidR="00092FFA">
        <w:rPr>
          <w:rFonts w:ascii="Times New Roman" w:hAnsi="Times New Roman" w:cs="Times New Roman"/>
          <w:sz w:val="28"/>
          <w:szCs w:val="28"/>
        </w:rPr>
        <w:t>,  i</w:t>
      </w:r>
      <w:r w:rsidR="00623BCA">
        <w:rPr>
          <w:rFonts w:ascii="Times New Roman" w:hAnsi="Times New Roman" w:cs="Times New Roman"/>
          <w:sz w:val="28"/>
          <w:szCs w:val="28"/>
        </w:rPr>
        <w:t xml:space="preserve"> </w:t>
      </w:r>
      <w:r w:rsidR="00092FFA">
        <w:rPr>
          <w:rFonts w:ascii="Times New Roman" w:hAnsi="Times New Roman" w:cs="Times New Roman"/>
          <w:sz w:val="28"/>
          <w:szCs w:val="28"/>
        </w:rPr>
        <w:t xml:space="preserve"> veći </w:t>
      </w:r>
      <w:r w:rsidR="00623BCA">
        <w:rPr>
          <w:rFonts w:ascii="Times New Roman" w:hAnsi="Times New Roman" w:cs="Times New Roman"/>
          <w:sz w:val="28"/>
          <w:szCs w:val="28"/>
        </w:rPr>
        <w:t xml:space="preserve">su </w:t>
      </w:r>
      <w:r w:rsidR="00092FFA">
        <w:rPr>
          <w:rFonts w:ascii="Times New Roman" w:hAnsi="Times New Roman" w:cs="Times New Roman"/>
          <w:sz w:val="28"/>
          <w:szCs w:val="28"/>
        </w:rPr>
        <w:t>u odnosu na prethodno razdoblja</w:t>
      </w:r>
      <w:r w:rsidR="00623BCA">
        <w:rPr>
          <w:rFonts w:ascii="Times New Roman" w:hAnsi="Times New Roman" w:cs="Times New Roman"/>
          <w:sz w:val="28"/>
          <w:szCs w:val="28"/>
        </w:rPr>
        <w:t xml:space="preserve"> za 10,67%</w:t>
      </w:r>
      <w:r w:rsidR="00092FFA">
        <w:rPr>
          <w:rFonts w:ascii="Times New Roman" w:hAnsi="Times New Roman" w:cs="Times New Roman"/>
          <w:sz w:val="28"/>
          <w:szCs w:val="28"/>
        </w:rPr>
        <w:t xml:space="preserve">.  </w:t>
      </w:r>
      <w:r w:rsidR="00623BCA">
        <w:rPr>
          <w:rFonts w:ascii="Times New Roman" w:hAnsi="Times New Roman" w:cs="Times New Roman"/>
          <w:sz w:val="28"/>
          <w:szCs w:val="28"/>
        </w:rPr>
        <w:t xml:space="preserve">Najveći dio ovih rashoda </w:t>
      </w:r>
      <w:r w:rsidR="00092FFA">
        <w:rPr>
          <w:rFonts w:ascii="Times New Roman" w:hAnsi="Times New Roman" w:cs="Times New Roman"/>
          <w:sz w:val="28"/>
          <w:szCs w:val="28"/>
        </w:rPr>
        <w:t xml:space="preserve">, čini kamata na zajam- </w:t>
      </w:r>
      <w:proofErr w:type="spellStart"/>
      <w:r w:rsidR="00092FFA">
        <w:rPr>
          <w:rFonts w:ascii="Times New Roman" w:hAnsi="Times New Roman" w:cs="Times New Roman"/>
          <w:sz w:val="28"/>
          <w:szCs w:val="28"/>
        </w:rPr>
        <w:t>leasing</w:t>
      </w:r>
      <w:proofErr w:type="spellEnd"/>
      <w:r w:rsidR="00623BCA">
        <w:rPr>
          <w:rFonts w:ascii="Times New Roman" w:hAnsi="Times New Roman" w:cs="Times New Roman"/>
          <w:sz w:val="28"/>
          <w:szCs w:val="28"/>
        </w:rPr>
        <w:t>.</w:t>
      </w:r>
      <w:r w:rsidR="00092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F6CC0" w14:textId="77777777" w:rsidR="00623BCA" w:rsidRDefault="00623BCA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C1B57A1" w14:textId="0E365ACB" w:rsidR="008E0138" w:rsidRDefault="008E0138" w:rsidP="008E0138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746A2A">
        <w:rPr>
          <w:rFonts w:ascii="Times New Roman" w:hAnsi="Times New Roman" w:cs="Times New Roman"/>
          <w:b/>
          <w:sz w:val="28"/>
          <w:szCs w:val="28"/>
        </w:rPr>
        <w:t>Rashodi za nabavu ne proizvedene dugotrajne imovine</w:t>
      </w:r>
      <w:r w:rsidRPr="008E0138">
        <w:rPr>
          <w:rFonts w:ascii="Times New Roman" w:hAnsi="Times New Roman" w:cs="Times New Roman"/>
          <w:sz w:val="28"/>
          <w:szCs w:val="28"/>
        </w:rPr>
        <w:t xml:space="preserve"> i sudjeluju u ukupnom rashodima  a sa</w:t>
      </w:r>
      <w:r w:rsidR="00092FFA">
        <w:rPr>
          <w:rFonts w:ascii="Times New Roman" w:hAnsi="Times New Roman" w:cs="Times New Roman"/>
          <w:sz w:val="28"/>
          <w:szCs w:val="28"/>
        </w:rPr>
        <w:t xml:space="preserve"> </w:t>
      </w:r>
      <w:r w:rsidR="00623BCA">
        <w:rPr>
          <w:rFonts w:ascii="Times New Roman" w:hAnsi="Times New Roman" w:cs="Times New Roman"/>
          <w:sz w:val="28"/>
          <w:szCs w:val="28"/>
        </w:rPr>
        <w:t>1,27</w:t>
      </w:r>
      <w:r w:rsidR="00092FFA">
        <w:rPr>
          <w:rFonts w:ascii="Times New Roman" w:hAnsi="Times New Roman" w:cs="Times New Roman"/>
          <w:sz w:val="28"/>
          <w:szCs w:val="28"/>
        </w:rPr>
        <w:t xml:space="preserve">% </w:t>
      </w:r>
      <w:r w:rsidRPr="008E0138">
        <w:rPr>
          <w:rFonts w:ascii="Times New Roman" w:hAnsi="Times New Roman" w:cs="Times New Roman"/>
          <w:sz w:val="28"/>
          <w:szCs w:val="28"/>
        </w:rPr>
        <w:t xml:space="preserve"> i iznose </w:t>
      </w:r>
      <w:r w:rsidR="00623BCA">
        <w:rPr>
          <w:rFonts w:ascii="Times New Roman" w:hAnsi="Times New Roman" w:cs="Times New Roman"/>
          <w:sz w:val="28"/>
          <w:szCs w:val="28"/>
        </w:rPr>
        <w:t xml:space="preserve"> 15.635,00</w:t>
      </w:r>
      <w:r w:rsidRPr="008E0138">
        <w:rPr>
          <w:rFonts w:ascii="Times New Roman" w:hAnsi="Times New Roman" w:cs="Times New Roman"/>
          <w:sz w:val="28"/>
          <w:szCs w:val="28"/>
        </w:rPr>
        <w:t xml:space="preserve">. </w:t>
      </w:r>
      <w:r w:rsidR="00623BCA">
        <w:rPr>
          <w:rFonts w:ascii="Times New Roman" w:hAnsi="Times New Roman" w:cs="Times New Roman"/>
          <w:sz w:val="28"/>
          <w:szCs w:val="28"/>
        </w:rPr>
        <w:t xml:space="preserve"> Iz ovih podataka možemo vidjeti da u 2025. godini nije bilo značajnijih nabavki oprema.</w:t>
      </w:r>
    </w:p>
    <w:p w14:paraId="0CA31810" w14:textId="77777777" w:rsidR="00746A2A" w:rsidRPr="00853F46" w:rsidRDefault="00746A2A" w:rsidP="00746A2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2FFFA" w14:textId="2FC8966C" w:rsidR="00F239E3" w:rsidRDefault="00F239E3" w:rsidP="00F239E3">
      <w:pPr>
        <w:pStyle w:val="Bezproreda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853F46">
        <w:rPr>
          <w:rFonts w:ascii="Times New Roman" w:hAnsi="Times New Roman" w:cs="Times New Roman"/>
          <w:b/>
          <w:sz w:val="28"/>
          <w:szCs w:val="28"/>
        </w:rPr>
        <w:t>obrazloženje ostvarenog prijenosa sredstava iz pre</w:t>
      </w:r>
      <w:r w:rsidR="00853F46" w:rsidRPr="00853F46">
        <w:rPr>
          <w:rFonts w:ascii="Times New Roman" w:hAnsi="Times New Roman" w:cs="Times New Roman"/>
          <w:b/>
          <w:sz w:val="28"/>
          <w:szCs w:val="28"/>
        </w:rPr>
        <w:t>t</w:t>
      </w:r>
      <w:r w:rsidRPr="00853F46">
        <w:rPr>
          <w:rFonts w:ascii="Times New Roman" w:hAnsi="Times New Roman" w:cs="Times New Roman"/>
          <w:b/>
          <w:sz w:val="28"/>
          <w:szCs w:val="28"/>
        </w:rPr>
        <w:t>ho</w:t>
      </w:r>
      <w:r w:rsidR="00853F46" w:rsidRPr="00853F46">
        <w:rPr>
          <w:rFonts w:ascii="Times New Roman" w:hAnsi="Times New Roman" w:cs="Times New Roman"/>
          <w:b/>
          <w:sz w:val="28"/>
          <w:szCs w:val="28"/>
        </w:rPr>
        <w:t>d</w:t>
      </w:r>
      <w:r w:rsidRPr="00853F46">
        <w:rPr>
          <w:rFonts w:ascii="Times New Roman" w:hAnsi="Times New Roman" w:cs="Times New Roman"/>
          <w:b/>
          <w:sz w:val="28"/>
          <w:szCs w:val="28"/>
        </w:rPr>
        <w:t xml:space="preserve">ne godine i </w:t>
      </w:r>
      <w:proofErr w:type="spellStart"/>
      <w:r w:rsidRPr="00853F46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853F46">
        <w:rPr>
          <w:rFonts w:ascii="Times New Roman" w:hAnsi="Times New Roman" w:cs="Times New Roman"/>
          <w:b/>
          <w:sz w:val="28"/>
          <w:szCs w:val="28"/>
        </w:rPr>
        <w:t xml:space="preserve"> prijenosa sredstava u </w:t>
      </w:r>
      <w:r w:rsidR="00853F46" w:rsidRPr="00853F46">
        <w:rPr>
          <w:rFonts w:ascii="Times New Roman" w:hAnsi="Times New Roman" w:cs="Times New Roman"/>
          <w:b/>
          <w:sz w:val="28"/>
          <w:szCs w:val="28"/>
        </w:rPr>
        <w:t>slijedeći godinu</w:t>
      </w:r>
    </w:p>
    <w:p w14:paraId="2F311B1A" w14:textId="3917FB79" w:rsidR="00746A2A" w:rsidRDefault="00853F46" w:rsidP="00853F46">
      <w:pPr>
        <w:pStyle w:val="Bezproreda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853F46">
        <w:rPr>
          <w:rFonts w:ascii="Times New Roman" w:hAnsi="Times New Roman" w:cs="Times New Roman"/>
          <w:sz w:val="28"/>
          <w:szCs w:val="28"/>
        </w:rPr>
        <w:t xml:space="preserve"> 202</w:t>
      </w:r>
      <w:r w:rsidR="00945E91">
        <w:rPr>
          <w:rFonts w:ascii="Times New Roman" w:hAnsi="Times New Roman" w:cs="Times New Roman"/>
          <w:sz w:val="28"/>
          <w:szCs w:val="28"/>
        </w:rPr>
        <w:t>5</w:t>
      </w:r>
      <w:r w:rsidRPr="00853F46">
        <w:rPr>
          <w:rFonts w:ascii="Times New Roman" w:hAnsi="Times New Roman" w:cs="Times New Roman"/>
          <w:sz w:val="28"/>
          <w:szCs w:val="28"/>
        </w:rPr>
        <w:t xml:space="preserve">. godinu </w:t>
      </w:r>
      <w:r>
        <w:rPr>
          <w:rFonts w:ascii="Times New Roman" w:hAnsi="Times New Roman" w:cs="Times New Roman"/>
          <w:sz w:val="28"/>
          <w:szCs w:val="28"/>
        </w:rPr>
        <w:t xml:space="preserve"> donesena </w:t>
      </w:r>
      <w:r w:rsidRPr="00853F46">
        <w:rPr>
          <w:rFonts w:ascii="Times New Roman" w:hAnsi="Times New Roman" w:cs="Times New Roman"/>
          <w:sz w:val="28"/>
          <w:szCs w:val="28"/>
        </w:rPr>
        <w:t xml:space="preserve"> su sredstva u iznosu od </w:t>
      </w:r>
      <w:r w:rsidR="00945E91">
        <w:rPr>
          <w:rFonts w:ascii="Times New Roman" w:hAnsi="Times New Roman" w:cs="Times New Roman"/>
          <w:sz w:val="28"/>
          <w:szCs w:val="28"/>
        </w:rPr>
        <w:t xml:space="preserve"> 12.064,79</w:t>
      </w:r>
      <w:r>
        <w:rPr>
          <w:rFonts w:ascii="Times New Roman" w:hAnsi="Times New Roman" w:cs="Times New Roman"/>
          <w:sz w:val="28"/>
          <w:szCs w:val="28"/>
        </w:rPr>
        <w:t xml:space="preserve"> eura. </w:t>
      </w:r>
      <w:r w:rsidR="00945E91">
        <w:rPr>
          <w:rFonts w:ascii="Times New Roman" w:hAnsi="Times New Roman" w:cs="Times New Roman"/>
          <w:sz w:val="28"/>
          <w:szCs w:val="28"/>
        </w:rPr>
        <w:t xml:space="preserve"> Prenesena sredstva nisu korištena za pokriće rashoda tekuće godine.  U 2025. godini ostvareni višak  vlastitih prihoda iznosi 12.479,64 eura., tako </w:t>
      </w:r>
      <w:r w:rsidR="00945E91">
        <w:rPr>
          <w:rFonts w:ascii="Times New Roman" w:hAnsi="Times New Roman" w:cs="Times New Roman"/>
          <w:sz w:val="28"/>
          <w:szCs w:val="28"/>
        </w:rPr>
        <w:lastRenderedPageBreak/>
        <w:t>da ukupan višak prihoda na izvoru 3,2 – Vlastiti prihodi, za prijenos u 2026. godinu iznosi  24.544,43 eura. Pored ovih sredstava u 2025. godinu prenosi se 800,00 eura donacija, koje nisu utrošene u 2025. godini.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1727DF" w14:textId="77777777" w:rsidR="00945E91" w:rsidRDefault="00945E91" w:rsidP="00853F46">
      <w:pPr>
        <w:pStyle w:val="Bezproreda"/>
        <w:ind w:left="720"/>
        <w:rPr>
          <w:rFonts w:ascii="Times New Roman" w:hAnsi="Times New Roman" w:cs="Times New Roman"/>
          <w:sz w:val="28"/>
          <w:szCs w:val="28"/>
        </w:rPr>
      </w:pPr>
    </w:p>
    <w:p w14:paraId="6E1688B8" w14:textId="77777777" w:rsidR="00853F46" w:rsidRPr="00853F46" w:rsidRDefault="00853F46" w:rsidP="00853F46">
      <w:pPr>
        <w:pStyle w:val="Bezproreda"/>
        <w:ind w:left="720"/>
        <w:rPr>
          <w:rFonts w:ascii="Times New Roman" w:hAnsi="Times New Roman" w:cs="Times New Roman"/>
          <w:sz w:val="28"/>
          <w:szCs w:val="28"/>
        </w:rPr>
      </w:pPr>
    </w:p>
    <w:p w14:paraId="75A5213B" w14:textId="77777777" w:rsidR="001E0CBC" w:rsidRDefault="001E0CBC" w:rsidP="001E0CBC">
      <w:pPr>
        <w:pStyle w:val="Odlomakpopis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3F6B">
        <w:rPr>
          <w:rFonts w:ascii="Times New Roman" w:hAnsi="Times New Roman" w:cs="Times New Roman"/>
          <w:b/>
          <w:sz w:val="28"/>
          <w:szCs w:val="28"/>
        </w:rPr>
        <w:t>POSEBNI IZVJEŠTAJI</w:t>
      </w:r>
    </w:p>
    <w:p w14:paraId="545C7074" w14:textId="77777777" w:rsidR="00EA0ADF" w:rsidRPr="001E3F6B" w:rsidRDefault="00EA0ADF" w:rsidP="00EA0ADF">
      <w:pPr>
        <w:pStyle w:val="Odlomakpopisa"/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752BF58" w14:textId="77777777" w:rsidR="001E0CBC" w:rsidRDefault="00662247" w:rsidP="00662247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662247">
        <w:rPr>
          <w:rFonts w:ascii="Times New Roman" w:hAnsi="Times New Roman" w:cs="Times New Roman"/>
          <w:sz w:val="28"/>
          <w:szCs w:val="28"/>
        </w:rPr>
        <w:t xml:space="preserve">zvještaj o </w:t>
      </w:r>
      <w:r>
        <w:rPr>
          <w:rFonts w:ascii="Times New Roman" w:hAnsi="Times New Roman" w:cs="Times New Roman"/>
          <w:sz w:val="28"/>
          <w:szCs w:val="28"/>
        </w:rPr>
        <w:t>zaduživanju na domaćem i stranom tržištu novca i kapitala</w:t>
      </w:r>
    </w:p>
    <w:p w14:paraId="3EC60217" w14:textId="4D4AF03D" w:rsidR="003E1694" w:rsidRDefault="003E1694" w:rsidP="003E16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-15-</w:t>
      </w:r>
    </w:p>
    <w:p w14:paraId="557A1126" w14:textId="05CA17B2" w:rsidR="004D078B" w:rsidRDefault="00662247" w:rsidP="00662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Javna </w:t>
      </w:r>
      <w:r w:rsidR="001F7A46">
        <w:rPr>
          <w:rFonts w:ascii="Times New Roman" w:hAnsi="Times New Roman" w:cs="Times New Roman"/>
          <w:sz w:val="28"/>
          <w:szCs w:val="28"/>
        </w:rPr>
        <w:t xml:space="preserve">vatrogasna postrojba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D078B">
        <w:rPr>
          <w:rFonts w:ascii="Times New Roman" w:hAnsi="Times New Roman" w:cs="Times New Roman"/>
          <w:sz w:val="28"/>
          <w:szCs w:val="28"/>
        </w:rPr>
        <w:t>4. godine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078B">
        <w:rPr>
          <w:rFonts w:ascii="Times New Roman" w:hAnsi="Times New Roman" w:cs="Times New Roman"/>
          <w:sz w:val="28"/>
          <w:szCs w:val="28"/>
        </w:rPr>
        <w:t xml:space="preserve"> zadužila se 244.200,00 eura, na rok od 5 godine. Zaduženje se odnosi na nabavku vatrogasnog vozila putem </w:t>
      </w:r>
      <w:proofErr w:type="spellStart"/>
      <w:r w:rsidR="004D078B">
        <w:rPr>
          <w:rFonts w:ascii="Times New Roman" w:hAnsi="Times New Roman" w:cs="Times New Roman"/>
          <w:sz w:val="28"/>
          <w:szCs w:val="28"/>
        </w:rPr>
        <w:t>leasinga</w:t>
      </w:r>
      <w:proofErr w:type="spellEnd"/>
      <w:r w:rsidR="004D0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91">
        <w:rPr>
          <w:rFonts w:ascii="Times New Roman" w:hAnsi="Times New Roman" w:cs="Times New Roman"/>
          <w:sz w:val="28"/>
          <w:szCs w:val="28"/>
        </w:rPr>
        <w:t>do 31.12.2025. godine, otplaćeni iznos glavnice iznosi  77.317,64 eura.</w:t>
      </w:r>
    </w:p>
    <w:p w14:paraId="3420EA5A" w14:textId="77777777" w:rsidR="00662247" w:rsidRDefault="00662247" w:rsidP="00662247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korištenju sredstava Fondova EU</w:t>
      </w:r>
    </w:p>
    <w:p w14:paraId="6DCB5B4E" w14:textId="77777777" w:rsidR="00662247" w:rsidRDefault="00662247" w:rsidP="00662247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201069" w14:textId="615A6237" w:rsidR="003E49A4" w:rsidRPr="001F7A46" w:rsidRDefault="001F7A46" w:rsidP="001F7A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Postrojba nije koristila sredstva iz EU fondova.</w:t>
      </w:r>
    </w:p>
    <w:p w14:paraId="563E8378" w14:textId="2F9C6B3D" w:rsidR="00662247" w:rsidRDefault="00662247" w:rsidP="00662247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danim zajmovima i potraživanjima po danim zajmovima</w:t>
      </w:r>
    </w:p>
    <w:p w14:paraId="63A1FECF" w14:textId="77777777" w:rsidR="003E49A4" w:rsidRDefault="003E49A4" w:rsidP="00662247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4675A6" w14:textId="36615B9B" w:rsidR="00662247" w:rsidRDefault="001F7A46" w:rsidP="00662247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Postrojba</w:t>
      </w:r>
      <w:r w:rsidR="00662247">
        <w:rPr>
          <w:rFonts w:ascii="Times New Roman" w:hAnsi="Times New Roman" w:cs="Times New Roman"/>
          <w:sz w:val="28"/>
          <w:szCs w:val="28"/>
        </w:rPr>
        <w:t xml:space="preserve"> u 202</w:t>
      </w:r>
      <w:r w:rsidR="00945E91">
        <w:rPr>
          <w:rFonts w:ascii="Times New Roman" w:hAnsi="Times New Roman" w:cs="Times New Roman"/>
          <w:sz w:val="28"/>
          <w:szCs w:val="28"/>
        </w:rPr>
        <w:t>5</w:t>
      </w:r>
      <w:r w:rsidR="00662247">
        <w:rPr>
          <w:rFonts w:ascii="Times New Roman" w:hAnsi="Times New Roman" w:cs="Times New Roman"/>
          <w:sz w:val="28"/>
          <w:szCs w:val="28"/>
        </w:rPr>
        <w:t>. godini nije davala zajmove, niti ima ikakvih potraživanja po to</w:t>
      </w:r>
      <w:r w:rsidR="003E49A4">
        <w:rPr>
          <w:rFonts w:ascii="Times New Roman" w:hAnsi="Times New Roman" w:cs="Times New Roman"/>
          <w:sz w:val="28"/>
          <w:szCs w:val="28"/>
        </w:rPr>
        <w:t>j</w:t>
      </w:r>
      <w:r w:rsidR="00662247">
        <w:rPr>
          <w:rFonts w:ascii="Times New Roman" w:hAnsi="Times New Roman" w:cs="Times New Roman"/>
          <w:sz w:val="28"/>
          <w:szCs w:val="28"/>
        </w:rPr>
        <w:t xml:space="preserve"> osnov</w:t>
      </w:r>
      <w:r w:rsidR="003E49A4">
        <w:rPr>
          <w:rFonts w:ascii="Times New Roman" w:hAnsi="Times New Roman" w:cs="Times New Roman"/>
          <w:sz w:val="28"/>
          <w:szCs w:val="28"/>
        </w:rPr>
        <w:t>i</w:t>
      </w:r>
      <w:r w:rsidR="00662247">
        <w:rPr>
          <w:rFonts w:ascii="Times New Roman" w:hAnsi="Times New Roman" w:cs="Times New Roman"/>
          <w:sz w:val="28"/>
          <w:szCs w:val="28"/>
        </w:rPr>
        <w:t>.</w:t>
      </w:r>
    </w:p>
    <w:p w14:paraId="2C95D481" w14:textId="0B061F26" w:rsidR="001F7A46" w:rsidRDefault="001F7A46" w:rsidP="00662247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7D38394" w14:textId="77777777" w:rsidR="00662247" w:rsidRDefault="00662247" w:rsidP="00662247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stanju potraživanja i dospjelih obveza</w:t>
      </w:r>
    </w:p>
    <w:p w14:paraId="2D384900" w14:textId="2C9CC0E9" w:rsidR="00662247" w:rsidRDefault="00662247" w:rsidP="006622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dan 31. 12. 202</w:t>
      </w:r>
      <w:r w:rsidR="00945E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godine ustanova u bilanci ima iskazana potraživanja  od </w:t>
      </w:r>
      <w:r w:rsidR="001E3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kupaca u iznosu od</w:t>
      </w:r>
      <w:r w:rsidR="00945E91">
        <w:rPr>
          <w:rFonts w:ascii="Times New Roman" w:hAnsi="Times New Roman" w:cs="Times New Roman"/>
          <w:sz w:val="28"/>
          <w:szCs w:val="28"/>
        </w:rPr>
        <w:t xml:space="preserve"> 2.765,48 </w:t>
      </w:r>
      <w:r w:rsidR="00853F46">
        <w:rPr>
          <w:rFonts w:ascii="Times New Roman" w:hAnsi="Times New Roman" w:cs="Times New Roman"/>
          <w:sz w:val="28"/>
          <w:szCs w:val="28"/>
        </w:rPr>
        <w:t xml:space="preserve"> eura</w:t>
      </w:r>
      <w:r w:rsidR="003E49A4">
        <w:rPr>
          <w:rFonts w:ascii="Times New Roman" w:hAnsi="Times New Roman" w:cs="Times New Roman"/>
          <w:sz w:val="28"/>
          <w:szCs w:val="28"/>
        </w:rPr>
        <w:t>,</w:t>
      </w:r>
      <w:r w:rsidR="00DD658F">
        <w:rPr>
          <w:rFonts w:ascii="Times New Roman" w:hAnsi="Times New Roman" w:cs="Times New Roman"/>
          <w:sz w:val="28"/>
          <w:szCs w:val="28"/>
        </w:rPr>
        <w:t xml:space="preserve"> </w:t>
      </w:r>
      <w:r w:rsidR="00CA5C97">
        <w:rPr>
          <w:rFonts w:ascii="Times New Roman" w:hAnsi="Times New Roman" w:cs="Times New Roman"/>
          <w:sz w:val="28"/>
          <w:szCs w:val="28"/>
        </w:rPr>
        <w:t>koja su u cijelosti nedospjela</w:t>
      </w:r>
      <w:r w:rsidR="00DD658F">
        <w:rPr>
          <w:rFonts w:ascii="Times New Roman" w:hAnsi="Times New Roman" w:cs="Times New Roman"/>
          <w:sz w:val="28"/>
          <w:szCs w:val="28"/>
        </w:rPr>
        <w:t xml:space="preserve">. Iskazane obveze prema </w:t>
      </w:r>
      <w:r w:rsidR="00945E91">
        <w:rPr>
          <w:rFonts w:ascii="Times New Roman" w:hAnsi="Times New Roman" w:cs="Times New Roman"/>
          <w:sz w:val="28"/>
          <w:szCs w:val="28"/>
        </w:rPr>
        <w:t xml:space="preserve"> djelatnicima ( plaća za prosinac i doprinosi) te  obveze prema </w:t>
      </w:r>
      <w:r w:rsidR="00DD658F">
        <w:rPr>
          <w:rFonts w:ascii="Times New Roman" w:hAnsi="Times New Roman" w:cs="Times New Roman"/>
          <w:sz w:val="28"/>
          <w:szCs w:val="28"/>
        </w:rPr>
        <w:t>dobavljačima iznose</w:t>
      </w:r>
      <w:r w:rsidR="004D078B">
        <w:rPr>
          <w:rFonts w:ascii="Times New Roman" w:hAnsi="Times New Roman" w:cs="Times New Roman"/>
          <w:sz w:val="28"/>
          <w:szCs w:val="28"/>
        </w:rPr>
        <w:t xml:space="preserve"> </w:t>
      </w:r>
      <w:r w:rsidR="00945E91">
        <w:rPr>
          <w:rFonts w:ascii="Times New Roman" w:hAnsi="Times New Roman" w:cs="Times New Roman"/>
          <w:sz w:val="28"/>
          <w:szCs w:val="28"/>
        </w:rPr>
        <w:t>84.800,03</w:t>
      </w:r>
      <w:r w:rsidR="00853F46">
        <w:rPr>
          <w:rFonts w:ascii="Times New Roman" w:hAnsi="Times New Roman" w:cs="Times New Roman"/>
          <w:sz w:val="28"/>
          <w:szCs w:val="28"/>
        </w:rPr>
        <w:t xml:space="preserve"> eura</w:t>
      </w:r>
      <w:r w:rsidR="00CA5C97">
        <w:rPr>
          <w:rFonts w:ascii="Times New Roman" w:hAnsi="Times New Roman" w:cs="Times New Roman"/>
          <w:sz w:val="28"/>
          <w:szCs w:val="28"/>
        </w:rPr>
        <w:t xml:space="preserve">, koje su također </w:t>
      </w:r>
      <w:r w:rsidR="00DD658F">
        <w:rPr>
          <w:rFonts w:ascii="Times New Roman" w:hAnsi="Times New Roman" w:cs="Times New Roman"/>
          <w:sz w:val="28"/>
          <w:szCs w:val="28"/>
        </w:rPr>
        <w:t xml:space="preserve"> u cijelosti su nedospjele.</w:t>
      </w:r>
    </w:p>
    <w:p w14:paraId="5B162771" w14:textId="1A251662" w:rsidR="00DD658F" w:rsidRDefault="00DD658F" w:rsidP="00DD658F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stanju potencijalnih obveza po osnovu sudskih sporova</w:t>
      </w:r>
    </w:p>
    <w:p w14:paraId="7BF40CB0" w14:textId="77777777" w:rsidR="00DD658F" w:rsidRDefault="00DD658F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9548C6" w14:textId="1EAF605F" w:rsidR="0077434F" w:rsidRDefault="00CA5C97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Javna vatrogasna postrojba potencijalnih obveza po osnovu sudskih sporova.</w:t>
      </w:r>
    </w:p>
    <w:p w14:paraId="1CA92184" w14:textId="77777777" w:rsidR="00541343" w:rsidRDefault="00541343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15B20A" w14:textId="77777777" w:rsidR="0077434F" w:rsidRDefault="0077434F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5C08DE" w14:textId="0FA59F5A" w:rsidR="0077434F" w:rsidRDefault="007F42FC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Makarskoj, 30</w:t>
      </w:r>
      <w:r w:rsidR="0077434F">
        <w:rPr>
          <w:rFonts w:ascii="Times New Roman" w:hAnsi="Times New Roman" w:cs="Times New Roman"/>
          <w:sz w:val="28"/>
          <w:szCs w:val="28"/>
        </w:rPr>
        <w:t>.</w:t>
      </w:r>
      <w:r w:rsidR="000E2FF6">
        <w:rPr>
          <w:rFonts w:ascii="Times New Roman" w:hAnsi="Times New Roman" w:cs="Times New Roman"/>
          <w:sz w:val="28"/>
          <w:szCs w:val="28"/>
        </w:rPr>
        <w:t xml:space="preserve"> </w:t>
      </w:r>
      <w:r w:rsidR="0077434F">
        <w:rPr>
          <w:rFonts w:ascii="Times New Roman" w:hAnsi="Times New Roman" w:cs="Times New Roman"/>
          <w:sz w:val="28"/>
          <w:szCs w:val="28"/>
        </w:rPr>
        <w:t>0</w:t>
      </w:r>
      <w:r w:rsidR="00541343">
        <w:rPr>
          <w:rFonts w:ascii="Times New Roman" w:hAnsi="Times New Roman" w:cs="Times New Roman"/>
          <w:sz w:val="28"/>
          <w:szCs w:val="28"/>
        </w:rPr>
        <w:t>3</w:t>
      </w:r>
      <w:r w:rsidR="0077434F">
        <w:rPr>
          <w:rFonts w:ascii="Times New Roman" w:hAnsi="Times New Roman" w:cs="Times New Roman"/>
          <w:sz w:val="28"/>
          <w:szCs w:val="28"/>
        </w:rPr>
        <w:t>.</w:t>
      </w:r>
      <w:r w:rsidR="000E2FF6">
        <w:rPr>
          <w:rFonts w:ascii="Times New Roman" w:hAnsi="Times New Roman" w:cs="Times New Roman"/>
          <w:sz w:val="28"/>
          <w:szCs w:val="28"/>
        </w:rPr>
        <w:t xml:space="preserve"> </w:t>
      </w:r>
      <w:r w:rsidR="0077434F">
        <w:rPr>
          <w:rFonts w:ascii="Times New Roman" w:hAnsi="Times New Roman" w:cs="Times New Roman"/>
          <w:sz w:val="28"/>
          <w:szCs w:val="28"/>
        </w:rPr>
        <w:t>202</w:t>
      </w:r>
      <w:r w:rsidR="00923E30">
        <w:rPr>
          <w:rFonts w:ascii="Times New Roman" w:hAnsi="Times New Roman" w:cs="Times New Roman"/>
          <w:sz w:val="28"/>
          <w:szCs w:val="28"/>
        </w:rPr>
        <w:t>6</w:t>
      </w:r>
      <w:r w:rsidR="0077434F">
        <w:rPr>
          <w:rFonts w:ascii="Times New Roman" w:hAnsi="Times New Roman" w:cs="Times New Roman"/>
          <w:sz w:val="28"/>
          <w:szCs w:val="28"/>
        </w:rPr>
        <w:t>.</w:t>
      </w:r>
      <w:r w:rsidR="000E2FF6"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0DCD0152" w14:textId="77777777" w:rsidR="0077434F" w:rsidRDefault="0077434F" w:rsidP="00DD658F">
      <w:pPr>
        <w:pStyle w:val="Odlomakpopis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B86402" w14:textId="77777777" w:rsidR="0077434F" w:rsidRDefault="0077434F" w:rsidP="0077434F">
      <w:pPr>
        <w:pStyle w:val="Odlomakpopisa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7434F" w14:paraId="68776FCB" w14:textId="77777777" w:rsidTr="0077434F">
        <w:trPr>
          <w:jc w:val="right"/>
        </w:trPr>
        <w:tc>
          <w:tcPr>
            <w:tcW w:w="4644" w:type="dxa"/>
          </w:tcPr>
          <w:p w14:paraId="18E16391" w14:textId="77777777" w:rsidR="0077434F" w:rsidRDefault="0077434F" w:rsidP="007743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Voditeljica računovodstva:</w:t>
            </w:r>
          </w:p>
          <w:p w14:paraId="19B5660E" w14:textId="77777777" w:rsidR="0077434F" w:rsidRDefault="0077434F" w:rsidP="007743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 Pejić</w:t>
            </w:r>
          </w:p>
        </w:tc>
        <w:tc>
          <w:tcPr>
            <w:tcW w:w="4644" w:type="dxa"/>
          </w:tcPr>
          <w:p w14:paraId="5F18D949" w14:textId="00C35D85" w:rsidR="0077434F" w:rsidRDefault="00CA5C97" w:rsidP="007743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Zapovjednik:</w:t>
            </w:r>
          </w:p>
          <w:p w14:paraId="5754BA2F" w14:textId="4CE53813" w:rsidR="0077434F" w:rsidRDefault="00CA5C97" w:rsidP="00CA5C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Mario Čović</w:t>
            </w:r>
          </w:p>
        </w:tc>
      </w:tr>
    </w:tbl>
    <w:p w14:paraId="4908ACF7" w14:textId="77777777" w:rsidR="0077434F" w:rsidRPr="00DD658F" w:rsidRDefault="0077434F" w:rsidP="0077434F">
      <w:pPr>
        <w:pStyle w:val="Odlomakpopisa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434F" w:rsidRPr="00DD658F" w:rsidSect="0091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72EB8" w14:textId="77777777" w:rsidR="007315E3" w:rsidRDefault="007315E3" w:rsidP="003E1694">
      <w:pPr>
        <w:spacing w:after="0" w:line="240" w:lineRule="auto"/>
      </w:pPr>
      <w:r>
        <w:separator/>
      </w:r>
    </w:p>
  </w:endnote>
  <w:endnote w:type="continuationSeparator" w:id="0">
    <w:p w14:paraId="148B337A" w14:textId="77777777" w:rsidR="007315E3" w:rsidRDefault="007315E3" w:rsidP="003E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37259" w14:textId="77777777" w:rsidR="007315E3" w:rsidRDefault="007315E3" w:rsidP="003E1694">
      <w:pPr>
        <w:spacing w:after="0" w:line="240" w:lineRule="auto"/>
      </w:pPr>
      <w:r>
        <w:separator/>
      </w:r>
    </w:p>
  </w:footnote>
  <w:footnote w:type="continuationSeparator" w:id="0">
    <w:p w14:paraId="17E17CE1" w14:textId="77777777" w:rsidR="007315E3" w:rsidRDefault="007315E3" w:rsidP="003E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56E"/>
    <w:multiLevelType w:val="hybridMultilevel"/>
    <w:tmpl w:val="0AB8B7FC"/>
    <w:lvl w:ilvl="0" w:tplc="6C7418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F32"/>
    <w:multiLevelType w:val="hybridMultilevel"/>
    <w:tmpl w:val="E8A463CC"/>
    <w:lvl w:ilvl="0" w:tplc="B808C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A5E24"/>
    <w:multiLevelType w:val="hybridMultilevel"/>
    <w:tmpl w:val="B4941C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D00435"/>
    <w:multiLevelType w:val="hybridMultilevel"/>
    <w:tmpl w:val="1D30FBA8"/>
    <w:lvl w:ilvl="0" w:tplc="041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36EBE"/>
    <w:multiLevelType w:val="hybridMultilevel"/>
    <w:tmpl w:val="8904E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55898"/>
    <w:multiLevelType w:val="hybridMultilevel"/>
    <w:tmpl w:val="1814F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94FB7"/>
    <w:multiLevelType w:val="hybridMultilevel"/>
    <w:tmpl w:val="361ADCAA"/>
    <w:lvl w:ilvl="0" w:tplc="DA9E7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DC23CD"/>
    <w:multiLevelType w:val="multilevel"/>
    <w:tmpl w:val="0A4C46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B2023F7"/>
    <w:multiLevelType w:val="hybridMultilevel"/>
    <w:tmpl w:val="57ACFA72"/>
    <w:lvl w:ilvl="0" w:tplc="5B5EB110">
      <w:start w:val="2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1506D1"/>
    <w:multiLevelType w:val="hybridMultilevel"/>
    <w:tmpl w:val="7542D6EA"/>
    <w:lvl w:ilvl="0" w:tplc="63807CA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C9169F"/>
    <w:multiLevelType w:val="hybridMultilevel"/>
    <w:tmpl w:val="BE14C0D4"/>
    <w:lvl w:ilvl="0" w:tplc="0F98A2E8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B04425"/>
    <w:multiLevelType w:val="hybridMultilevel"/>
    <w:tmpl w:val="FAA66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10CEF"/>
    <w:multiLevelType w:val="hybridMultilevel"/>
    <w:tmpl w:val="BC6E431E"/>
    <w:lvl w:ilvl="0" w:tplc="D2E68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162CB1"/>
    <w:multiLevelType w:val="hybridMultilevel"/>
    <w:tmpl w:val="37B0CF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85068"/>
    <w:multiLevelType w:val="hybridMultilevel"/>
    <w:tmpl w:val="CCBAB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C6F85"/>
    <w:multiLevelType w:val="hybridMultilevel"/>
    <w:tmpl w:val="514A14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80388A"/>
    <w:multiLevelType w:val="hybridMultilevel"/>
    <w:tmpl w:val="CCD6A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2C87"/>
    <w:multiLevelType w:val="hybridMultilevel"/>
    <w:tmpl w:val="565C59B0"/>
    <w:lvl w:ilvl="0" w:tplc="401842C8">
      <w:start w:val="1"/>
      <w:numFmt w:val="decimalZero"/>
      <w:lvlText w:val="%1."/>
      <w:lvlJc w:val="left"/>
      <w:pPr>
        <w:ind w:left="18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16" w:hanging="360"/>
      </w:pPr>
    </w:lvl>
    <w:lvl w:ilvl="2" w:tplc="041A001B" w:tentative="1">
      <w:start w:val="1"/>
      <w:numFmt w:val="lowerRoman"/>
      <w:lvlText w:val="%3."/>
      <w:lvlJc w:val="right"/>
      <w:pPr>
        <w:ind w:left="3336" w:hanging="180"/>
      </w:pPr>
    </w:lvl>
    <w:lvl w:ilvl="3" w:tplc="041A000F" w:tentative="1">
      <w:start w:val="1"/>
      <w:numFmt w:val="decimal"/>
      <w:lvlText w:val="%4."/>
      <w:lvlJc w:val="left"/>
      <w:pPr>
        <w:ind w:left="4056" w:hanging="360"/>
      </w:pPr>
    </w:lvl>
    <w:lvl w:ilvl="4" w:tplc="041A0019" w:tentative="1">
      <w:start w:val="1"/>
      <w:numFmt w:val="lowerLetter"/>
      <w:lvlText w:val="%5."/>
      <w:lvlJc w:val="left"/>
      <w:pPr>
        <w:ind w:left="4776" w:hanging="360"/>
      </w:pPr>
    </w:lvl>
    <w:lvl w:ilvl="5" w:tplc="041A001B" w:tentative="1">
      <w:start w:val="1"/>
      <w:numFmt w:val="lowerRoman"/>
      <w:lvlText w:val="%6."/>
      <w:lvlJc w:val="right"/>
      <w:pPr>
        <w:ind w:left="5496" w:hanging="180"/>
      </w:pPr>
    </w:lvl>
    <w:lvl w:ilvl="6" w:tplc="041A000F" w:tentative="1">
      <w:start w:val="1"/>
      <w:numFmt w:val="decimal"/>
      <w:lvlText w:val="%7."/>
      <w:lvlJc w:val="left"/>
      <w:pPr>
        <w:ind w:left="6216" w:hanging="360"/>
      </w:pPr>
    </w:lvl>
    <w:lvl w:ilvl="7" w:tplc="041A0019" w:tentative="1">
      <w:start w:val="1"/>
      <w:numFmt w:val="lowerLetter"/>
      <w:lvlText w:val="%8."/>
      <w:lvlJc w:val="left"/>
      <w:pPr>
        <w:ind w:left="6936" w:hanging="360"/>
      </w:pPr>
    </w:lvl>
    <w:lvl w:ilvl="8" w:tplc="041A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8">
    <w:nsid w:val="58753BB9"/>
    <w:multiLevelType w:val="hybridMultilevel"/>
    <w:tmpl w:val="2D3EEE68"/>
    <w:lvl w:ilvl="0" w:tplc="6C5C9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06A5A"/>
    <w:multiLevelType w:val="hybridMultilevel"/>
    <w:tmpl w:val="1EC26C5C"/>
    <w:lvl w:ilvl="0" w:tplc="EC60D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C0F08"/>
    <w:multiLevelType w:val="hybridMultilevel"/>
    <w:tmpl w:val="AA04E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D4ED7"/>
    <w:multiLevelType w:val="hybridMultilevel"/>
    <w:tmpl w:val="BF8E54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A2287"/>
    <w:multiLevelType w:val="hybridMultilevel"/>
    <w:tmpl w:val="1BE44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933CC"/>
    <w:multiLevelType w:val="hybridMultilevel"/>
    <w:tmpl w:val="0484B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10BAA"/>
    <w:multiLevelType w:val="hybridMultilevel"/>
    <w:tmpl w:val="13505530"/>
    <w:lvl w:ilvl="0" w:tplc="476A3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77E55"/>
    <w:multiLevelType w:val="hybridMultilevel"/>
    <w:tmpl w:val="08502702"/>
    <w:lvl w:ilvl="0" w:tplc="23B2E3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A21E89"/>
    <w:multiLevelType w:val="hybridMultilevel"/>
    <w:tmpl w:val="704EC636"/>
    <w:lvl w:ilvl="0" w:tplc="88CC6D02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54396"/>
    <w:multiLevelType w:val="hybridMultilevel"/>
    <w:tmpl w:val="0C624838"/>
    <w:lvl w:ilvl="0" w:tplc="E1EA5B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F72444"/>
    <w:multiLevelType w:val="hybridMultilevel"/>
    <w:tmpl w:val="0E3EA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64923"/>
    <w:multiLevelType w:val="hybridMultilevel"/>
    <w:tmpl w:val="18BA0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3"/>
  </w:num>
  <w:num w:numId="4">
    <w:abstractNumId w:val="29"/>
  </w:num>
  <w:num w:numId="5">
    <w:abstractNumId w:val="16"/>
  </w:num>
  <w:num w:numId="6">
    <w:abstractNumId w:val="20"/>
  </w:num>
  <w:num w:numId="7">
    <w:abstractNumId w:val="11"/>
  </w:num>
  <w:num w:numId="8">
    <w:abstractNumId w:val="12"/>
  </w:num>
  <w:num w:numId="9">
    <w:abstractNumId w:val="27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3"/>
  </w:num>
  <w:num w:numId="15">
    <w:abstractNumId w:val="26"/>
  </w:num>
  <w:num w:numId="16">
    <w:abstractNumId w:val="24"/>
  </w:num>
  <w:num w:numId="17">
    <w:abstractNumId w:val="19"/>
  </w:num>
  <w:num w:numId="18">
    <w:abstractNumId w:val="1"/>
  </w:num>
  <w:num w:numId="19">
    <w:abstractNumId w:val="28"/>
  </w:num>
  <w:num w:numId="20">
    <w:abstractNumId w:val="5"/>
  </w:num>
  <w:num w:numId="21">
    <w:abstractNumId w:val="14"/>
  </w:num>
  <w:num w:numId="22">
    <w:abstractNumId w:val="4"/>
  </w:num>
  <w:num w:numId="23">
    <w:abstractNumId w:val="2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  <w:num w:numId="28">
    <w:abstractNumId w:val="2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8"/>
    <w:rsid w:val="00006EC2"/>
    <w:rsid w:val="0001120C"/>
    <w:rsid w:val="00042324"/>
    <w:rsid w:val="00063909"/>
    <w:rsid w:val="00064F72"/>
    <w:rsid w:val="00071851"/>
    <w:rsid w:val="00081D6E"/>
    <w:rsid w:val="000851DD"/>
    <w:rsid w:val="00092FFA"/>
    <w:rsid w:val="000954AC"/>
    <w:rsid w:val="00097902"/>
    <w:rsid w:val="000C1541"/>
    <w:rsid w:val="000C521F"/>
    <w:rsid w:val="000E05D4"/>
    <w:rsid w:val="000E2887"/>
    <w:rsid w:val="000E2FF6"/>
    <w:rsid w:val="000E3F4F"/>
    <w:rsid w:val="000F1340"/>
    <w:rsid w:val="000F4DE0"/>
    <w:rsid w:val="0010133E"/>
    <w:rsid w:val="00101E08"/>
    <w:rsid w:val="001021AF"/>
    <w:rsid w:val="00111B38"/>
    <w:rsid w:val="00113339"/>
    <w:rsid w:val="001148B3"/>
    <w:rsid w:val="00121576"/>
    <w:rsid w:val="0014086A"/>
    <w:rsid w:val="00147972"/>
    <w:rsid w:val="00151C43"/>
    <w:rsid w:val="001630C9"/>
    <w:rsid w:val="00176EEE"/>
    <w:rsid w:val="001912CB"/>
    <w:rsid w:val="001C07E1"/>
    <w:rsid w:val="001C2FE2"/>
    <w:rsid w:val="001D1FA3"/>
    <w:rsid w:val="001D4132"/>
    <w:rsid w:val="001D78DF"/>
    <w:rsid w:val="001E0CBC"/>
    <w:rsid w:val="001E3F6B"/>
    <w:rsid w:val="001F7A46"/>
    <w:rsid w:val="00205DF1"/>
    <w:rsid w:val="00217860"/>
    <w:rsid w:val="002320E2"/>
    <w:rsid w:val="00241A66"/>
    <w:rsid w:val="00254AC6"/>
    <w:rsid w:val="0026051C"/>
    <w:rsid w:val="002B7BCB"/>
    <w:rsid w:val="002E3704"/>
    <w:rsid w:val="002E4B2A"/>
    <w:rsid w:val="002F3AF5"/>
    <w:rsid w:val="003161C7"/>
    <w:rsid w:val="00316B7D"/>
    <w:rsid w:val="00317A6C"/>
    <w:rsid w:val="00317C87"/>
    <w:rsid w:val="0033687E"/>
    <w:rsid w:val="00351756"/>
    <w:rsid w:val="00351EFA"/>
    <w:rsid w:val="00361063"/>
    <w:rsid w:val="00372F19"/>
    <w:rsid w:val="00386B94"/>
    <w:rsid w:val="0039586F"/>
    <w:rsid w:val="003A0523"/>
    <w:rsid w:val="003B5D9A"/>
    <w:rsid w:val="003B703E"/>
    <w:rsid w:val="003B739C"/>
    <w:rsid w:val="003C088D"/>
    <w:rsid w:val="003C6030"/>
    <w:rsid w:val="003C6C9D"/>
    <w:rsid w:val="003E1694"/>
    <w:rsid w:val="003E49A4"/>
    <w:rsid w:val="003F1176"/>
    <w:rsid w:val="00404C7A"/>
    <w:rsid w:val="00413D16"/>
    <w:rsid w:val="0042164F"/>
    <w:rsid w:val="0043013C"/>
    <w:rsid w:val="0044394F"/>
    <w:rsid w:val="00450183"/>
    <w:rsid w:val="00453242"/>
    <w:rsid w:val="00485812"/>
    <w:rsid w:val="0049526A"/>
    <w:rsid w:val="00495D6E"/>
    <w:rsid w:val="004A1A06"/>
    <w:rsid w:val="004C0702"/>
    <w:rsid w:val="004C26BB"/>
    <w:rsid w:val="004C4A55"/>
    <w:rsid w:val="004C4F96"/>
    <w:rsid w:val="004D078B"/>
    <w:rsid w:val="004D0A30"/>
    <w:rsid w:val="004D506C"/>
    <w:rsid w:val="004F78FE"/>
    <w:rsid w:val="00510AF8"/>
    <w:rsid w:val="00520367"/>
    <w:rsid w:val="00521AC4"/>
    <w:rsid w:val="00521FAD"/>
    <w:rsid w:val="00527633"/>
    <w:rsid w:val="0053601D"/>
    <w:rsid w:val="00541343"/>
    <w:rsid w:val="00552A6F"/>
    <w:rsid w:val="00567C3F"/>
    <w:rsid w:val="005A0E58"/>
    <w:rsid w:val="005C2469"/>
    <w:rsid w:val="005C48E7"/>
    <w:rsid w:val="005C7F61"/>
    <w:rsid w:val="005D20C6"/>
    <w:rsid w:val="005F18D0"/>
    <w:rsid w:val="00610927"/>
    <w:rsid w:val="00617A4B"/>
    <w:rsid w:val="00623BCA"/>
    <w:rsid w:val="00625DFE"/>
    <w:rsid w:val="00626F55"/>
    <w:rsid w:val="00631F8C"/>
    <w:rsid w:val="00632B8F"/>
    <w:rsid w:val="006451B2"/>
    <w:rsid w:val="0064644D"/>
    <w:rsid w:val="00655C82"/>
    <w:rsid w:val="00655E7C"/>
    <w:rsid w:val="006576EA"/>
    <w:rsid w:val="00662247"/>
    <w:rsid w:val="00673003"/>
    <w:rsid w:val="00673B22"/>
    <w:rsid w:val="006905BE"/>
    <w:rsid w:val="006951CB"/>
    <w:rsid w:val="006A03CC"/>
    <w:rsid w:val="006D3B93"/>
    <w:rsid w:val="006E221E"/>
    <w:rsid w:val="006E498F"/>
    <w:rsid w:val="006F10CF"/>
    <w:rsid w:val="006F6ACB"/>
    <w:rsid w:val="00727100"/>
    <w:rsid w:val="007315E3"/>
    <w:rsid w:val="00741B5D"/>
    <w:rsid w:val="00743DC7"/>
    <w:rsid w:val="00746A2A"/>
    <w:rsid w:val="00751918"/>
    <w:rsid w:val="00753F15"/>
    <w:rsid w:val="0076178C"/>
    <w:rsid w:val="00761C11"/>
    <w:rsid w:val="0076459F"/>
    <w:rsid w:val="0077434F"/>
    <w:rsid w:val="00780070"/>
    <w:rsid w:val="007805E1"/>
    <w:rsid w:val="007868F5"/>
    <w:rsid w:val="00794548"/>
    <w:rsid w:val="007972C4"/>
    <w:rsid w:val="007B025B"/>
    <w:rsid w:val="007B5CEC"/>
    <w:rsid w:val="007D613E"/>
    <w:rsid w:val="007E4FDC"/>
    <w:rsid w:val="007F42FC"/>
    <w:rsid w:val="007F7132"/>
    <w:rsid w:val="00826D60"/>
    <w:rsid w:val="008423DF"/>
    <w:rsid w:val="00846CAA"/>
    <w:rsid w:val="00851E11"/>
    <w:rsid w:val="00853F46"/>
    <w:rsid w:val="00861232"/>
    <w:rsid w:val="0086604C"/>
    <w:rsid w:val="008712F3"/>
    <w:rsid w:val="00875431"/>
    <w:rsid w:val="00881027"/>
    <w:rsid w:val="00882FB3"/>
    <w:rsid w:val="008855CE"/>
    <w:rsid w:val="008909E6"/>
    <w:rsid w:val="008A6695"/>
    <w:rsid w:val="008B7815"/>
    <w:rsid w:val="008E0138"/>
    <w:rsid w:val="008F0807"/>
    <w:rsid w:val="00903B63"/>
    <w:rsid w:val="00903DD0"/>
    <w:rsid w:val="00907696"/>
    <w:rsid w:val="009125DC"/>
    <w:rsid w:val="00917931"/>
    <w:rsid w:val="00917A94"/>
    <w:rsid w:val="009230EE"/>
    <w:rsid w:val="00923E30"/>
    <w:rsid w:val="00945E91"/>
    <w:rsid w:val="00952331"/>
    <w:rsid w:val="00953729"/>
    <w:rsid w:val="009552C1"/>
    <w:rsid w:val="00956695"/>
    <w:rsid w:val="00966921"/>
    <w:rsid w:val="009805E2"/>
    <w:rsid w:val="0098389B"/>
    <w:rsid w:val="00983E41"/>
    <w:rsid w:val="00985011"/>
    <w:rsid w:val="009A1C4E"/>
    <w:rsid w:val="009B1445"/>
    <w:rsid w:val="009D4E96"/>
    <w:rsid w:val="009E0943"/>
    <w:rsid w:val="009F0DFA"/>
    <w:rsid w:val="009F2EE5"/>
    <w:rsid w:val="00A00B02"/>
    <w:rsid w:val="00A0429C"/>
    <w:rsid w:val="00A13B4A"/>
    <w:rsid w:val="00A14BC1"/>
    <w:rsid w:val="00A354F8"/>
    <w:rsid w:val="00A47ADC"/>
    <w:rsid w:val="00A75782"/>
    <w:rsid w:val="00A95E07"/>
    <w:rsid w:val="00AA35F4"/>
    <w:rsid w:val="00AA7230"/>
    <w:rsid w:val="00AA7593"/>
    <w:rsid w:val="00AB59FE"/>
    <w:rsid w:val="00B05B9F"/>
    <w:rsid w:val="00B1046D"/>
    <w:rsid w:val="00B12576"/>
    <w:rsid w:val="00B44C91"/>
    <w:rsid w:val="00B44F03"/>
    <w:rsid w:val="00B465C1"/>
    <w:rsid w:val="00B51003"/>
    <w:rsid w:val="00B51BD0"/>
    <w:rsid w:val="00B55094"/>
    <w:rsid w:val="00B57631"/>
    <w:rsid w:val="00B61BF0"/>
    <w:rsid w:val="00B66ECC"/>
    <w:rsid w:val="00B7284F"/>
    <w:rsid w:val="00B812B3"/>
    <w:rsid w:val="00BA2752"/>
    <w:rsid w:val="00BB4CCC"/>
    <w:rsid w:val="00BC6617"/>
    <w:rsid w:val="00BD2989"/>
    <w:rsid w:val="00BD2EB1"/>
    <w:rsid w:val="00BD4025"/>
    <w:rsid w:val="00BF49CD"/>
    <w:rsid w:val="00C01E13"/>
    <w:rsid w:val="00C12FAC"/>
    <w:rsid w:val="00C1662D"/>
    <w:rsid w:val="00C233D7"/>
    <w:rsid w:val="00C25180"/>
    <w:rsid w:val="00C26D4F"/>
    <w:rsid w:val="00C27FE7"/>
    <w:rsid w:val="00C40298"/>
    <w:rsid w:val="00C44C12"/>
    <w:rsid w:val="00C45888"/>
    <w:rsid w:val="00C513E9"/>
    <w:rsid w:val="00C5365B"/>
    <w:rsid w:val="00C669DD"/>
    <w:rsid w:val="00C712A1"/>
    <w:rsid w:val="00C724F5"/>
    <w:rsid w:val="00C735E1"/>
    <w:rsid w:val="00C73AED"/>
    <w:rsid w:val="00CA5C97"/>
    <w:rsid w:val="00CB0B38"/>
    <w:rsid w:val="00CB29E8"/>
    <w:rsid w:val="00CB44B4"/>
    <w:rsid w:val="00CB56D9"/>
    <w:rsid w:val="00CB6D92"/>
    <w:rsid w:val="00CB786F"/>
    <w:rsid w:val="00CC691B"/>
    <w:rsid w:val="00CD0EE6"/>
    <w:rsid w:val="00CD1B78"/>
    <w:rsid w:val="00D01888"/>
    <w:rsid w:val="00D0253D"/>
    <w:rsid w:val="00D113B9"/>
    <w:rsid w:val="00D11A6B"/>
    <w:rsid w:val="00D24344"/>
    <w:rsid w:val="00D25A39"/>
    <w:rsid w:val="00D32E5A"/>
    <w:rsid w:val="00D465F9"/>
    <w:rsid w:val="00D53BFC"/>
    <w:rsid w:val="00D57377"/>
    <w:rsid w:val="00D765F5"/>
    <w:rsid w:val="00DA13F8"/>
    <w:rsid w:val="00DA5049"/>
    <w:rsid w:val="00DB320E"/>
    <w:rsid w:val="00DB69A2"/>
    <w:rsid w:val="00DD658F"/>
    <w:rsid w:val="00DF08FB"/>
    <w:rsid w:val="00E119E7"/>
    <w:rsid w:val="00E139B6"/>
    <w:rsid w:val="00E17FE6"/>
    <w:rsid w:val="00E2082D"/>
    <w:rsid w:val="00E30929"/>
    <w:rsid w:val="00E3552C"/>
    <w:rsid w:val="00E435A3"/>
    <w:rsid w:val="00E51ECC"/>
    <w:rsid w:val="00E51F02"/>
    <w:rsid w:val="00E53404"/>
    <w:rsid w:val="00E6115C"/>
    <w:rsid w:val="00E62FA4"/>
    <w:rsid w:val="00E661F4"/>
    <w:rsid w:val="00E66F35"/>
    <w:rsid w:val="00E775C2"/>
    <w:rsid w:val="00E80C56"/>
    <w:rsid w:val="00E85DFC"/>
    <w:rsid w:val="00E92142"/>
    <w:rsid w:val="00EA0ADF"/>
    <w:rsid w:val="00EA44AE"/>
    <w:rsid w:val="00EA640C"/>
    <w:rsid w:val="00ED373D"/>
    <w:rsid w:val="00EE1650"/>
    <w:rsid w:val="00F1523F"/>
    <w:rsid w:val="00F239E3"/>
    <w:rsid w:val="00F4192A"/>
    <w:rsid w:val="00F520F1"/>
    <w:rsid w:val="00F60DD0"/>
    <w:rsid w:val="00F66FA5"/>
    <w:rsid w:val="00F6771B"/>
    <w:rsid w:val="00F725BB"/>
    <w:rsid w:val="00F76DF0"/>
    <w:rsid w:val="00F86CC4"/>
    <w:rsid w:val="00F877B9"/>
    <w:rsid w:val="00F94765"/>
    <w:rsid w:val="00F948E4"/>
    <w:rsid w:val="00FB075C"/>
    <w:rsid w:val="00FB2A3B"/>
    <w:rsid w:val="00FC1D48"/>
    <w:rsid w:val="00FC635D"/>
    <w:rsid w:val="00FD2CEA"/>
    <w:rsid w:val="00FD57F1"/>
    <w:rsid w:val="00FD666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9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6EA"/>
  </w:style>
  <w:style w:type="paragraph" w:styleId="Naslov1">
    <w:name w:val="heading 1"/>
    <w:basedOn w:val="Normal"/>
    <w:next w:val="Normal"/>
    <w:link w:val="Naslov1Char"/>
    <w:uiPriority w:val="9"/>
    <w:qFormat/>
    <w:rsid w:val="00101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9E8"/>
    <w:pPr>
      <w:ind w:left="720"/>
      <w:contextualSpacing/>
    </w:pPr>
  </w:style>
  <w:style w:type="paragraph" w:styleId="Bezproreda">
    <w:name w:val="No Spacing"/>
    <w:uiPriority w:val="1"/>
    <w:qFormat/>
    <w:rsid w:val="005C48E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01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A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3E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qFormat/>
    <w:rsid w:val="003E1694"/>
  </w:style>
  <w:style w:type="paragraph" w:styleId="Podnoje">
    <w:name w:val="footer"/>
    <w:basedOn w:val="Normal"/>
    <w:link w:val="PodnojeChar"/>
    <w:uiPriority w:val="99"/>
    <w:unhideWhenUsed/>
    <w:rsid w:val="003E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6EA"/>
  </w:style>
  <w:style w:type="paragraph" w:styleId="Naslov1">
    <w:name w:val="heading 1"/>
    <w:basedOn w:val="Normal"/>
    <w:next w:val="Normal"/>
    <w:link w:val="Naslov1Char"/>
    <w:uiPriority w:val="9"/>
    <w:qFormat/>
    <w:rsid w:val="001013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9E8"/>
    <w:pPr>
      <w:ind w:left="720"/>
      <w:contextualSpacing/>
    </w:pPr>
  </w:style>
  <w:style w:type="paragraph" w:styleId="Bezproreda">
    <w:name w:val="No Spacing"/>
    <w:uiPriority w:val="1"/>
    <w:qFormat/>
    <w:rsid w:val="005C48E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01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A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3E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qFormat/>
    <w:rsid w:val="003E1694"/>
  </w:style>
  <w:style w:type="paragraph" w:styleId="Podnoje">
    <w:name w:val="footer"/>
    <w:basedOn w:val="Normal"/>
    <w:link w:val="PodnojeChar"/>
    <w:uiPriority w:val="99"/>
    <w:unhideWhenUsed/>
    <w:rsid w:val="003E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198E-C7F3-4A5A-9486-2A87D48F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KONTOMARA-2</dc:creator>
  <cp:lastModifiedBy>Korisnik</cp:lastModifiedBy>
  <cp:revision>3</cp:revision>
  <cp:lastPrinted>2026-04-02T09:41:00Z</cp:lastPrinted>
  <dcterms:created xsi:type="dcterms:W3CDTF">2026-04-02T09:36:00Z</dcterms:created>
  <dcterms:modified xsi:type="dcterms:W3CDTF">2026-04-02T09:41:00Z</dcterms:modified>
</cp:coreProperties>
</file>